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CABDF" w14:textId="77777777" w:rsidR="00071486" w:rsidRDefault="00000000">
      <w:pPr>
        <w:pBdr>
          <w:top w:val="nil"/>
          <w:left w:val="nil"/>
          <w:bottom w:val="nil"/>
          <w:right w:val="nil"/>
          <w:between w:val="nil"/>
        </w:pBdr>
        <w:spacing w:after="0" w:line="240" w:lineRule="auto"/>
        <w:rPr>
          <w:color w:val="000000"/>
        </w:rPr>
      </w:pPr>
      <w:r>
        <w:rPr>
          <w:noProof/>
          <w:color w:val="000000"/>
        </w:rPr>
        <mc:AlternateContent>
          <mc:Choice Requires="wpg">
            <w:drawing>
              <wp:anchor distT="0" distB="0" distL="0" distR="0" simplePos="0" relativeHeight="251658240" behindDoc="1" locked="0" layoutInCell="1" hidden="0" allowOverlap="1" wp14:anchorId="15BE6F92" wp14:editId="45CAF261">
                <wp:simplePos x="0" y="0"/>
                <wp:positionH relativeFrom="page">
                  <wp:posOffset>310515</wp:posOffset>
                </wp:positionH>
                <wp:positionV relativeFrom="page">
                  <wp:align>center</wp:align>
                </wp:positionV>
                <wp:extent cx="2136140" cy="9128125"/>
                <wp:effectExtent l="0" t="0" r="0" b="0"/>
                <wp:wrapNone/>
                <wp:docPr id="1" name="Group 1"/>
                <wp:cNvGraphicFramePr/>
                <a:graphic xmlns:a="http://schemas.openxmlformats.org/drawingml/2006/main">
                  <a:graphicData uri="http://schemas.microsoft.com/office/word/2010/wordprocessingGroup">
                    <wpg:wgp>
                      <wpg:cNvGrpSpPr/>
                      <wpg:grpSpPr>
                        <a:xfrm>
                          <a:off x="0" y="0"/>
                          <a:ext cx="2136140" cy="9128125"/>
                          <a:chOff x="4278225" y="0"/>
                          <a:chExt cx="2140300" cy="7560000"/>
                        </a:xfrm>
                      </wpg:grpSpPr>
                      <wpg:grpSp>
                        <wpg:cNvPr id="2" name="Group 2"/>
                        <wpg:cNvGrpSpPr/>
                        <wpg:grpSpPr>
                          <a:xfrm>
                            <a:off x="4278240" y="0"/>
                            <a:ext cx="2135520" cy="7560000"/>
                            <a:chOff x="0" y="0"/>
                            <a:chExt cx="2135520" cy="9127440"/>
                          </a:xfrm>
                        </wpg:grpSpPr>
                        <wps:wsp>
                          <wps:cNvPr id="3" name="Rectangle 3"/>
                          <wps:cNvSpPr/>
                          <wps:spPr>
                            <a:xfrm>
                              <a:off x="0" y="0"/>
                              <a:ext cx="2135500" cy="9127425"/>
                            </a:xfrm>
                            <a:prstGeom prst="rect">
                              <a:avLst/>
                            </a:prstGeom>
                            <a:noFill/>
                            <a:ln>
                              <a:noFill/>
                            </a:ln>
                          </wps:spPr>
                          <wps:txbx>
                            <w:txbxContent>
                              <w:p w14:paraId="1981A132" w14:textId="77777777" w:rsidR="00071486" w:rsidRDefault="00071486">
                                <w:pPr>
                                  <w:spacing w:after="0" w:line="240" w:lineRule="auto"/>
                                  <w:textDirection w:val="btLr"/>
                                </w:pPr>
                              </w:p>
                            </w:txbxContent>
                          </wps:txbx>
                          <wps:bodyPr spcFirstLastPara="1" wrap="square" lIns="91425" tIns="91425" rIns="91425" bIns="91425" anchor="ctr" anchorCtr="0">
                            <a:noAutofit/>
                          </wps:bodyPr>
                        </wps:wsp>
                        <wps:wsp>
                          <wps:cNvPr id="4" name="Rectangle 4"/>
                          <wps:cNvSpPr/>
                          <wps:spPr>
                            <a:xfrm>
                              <a:off x="0" y="0"/>
                              <a:ext cx="191880" cy="9127440"/>
                            </a:xfrm>
                            <a:prstGeom prst="rect">
                              <a:avLst/>
                            </a:prstGeom>
                            <a:solidFill>
                              <a:srgbClr val="004D9A"/>
                            </a:solidFill>
                            <a:ln>
                              <a:noFill/>
                            </a:ln>
                          </wps:spPr>
                          <wps:txbx>
                            <w:txbxContent>
                              <w:p w14:paraId="4B9EED27" w14:textId="77777777" w:rsidR="00071486" w:rsidRDefault="00071486">
                                <w:pPr>
                                  <w:spacing w:after="0" w:line="240" w:lineRule="auto"/>
                                  <w:textDirection w:val="btLr"/>
                                </w:pPr>
                              </w:p>
                            </w:txbxContent>
                          </wps:txbx>
                          <wps:bodyPr spcFirstLastPara="1" wrap="square" lIns="91425" tIns="91425" rIns="91425" bIns="91425" anchor="ctr" anchorCtr="0">
                            <a:noAutofit/>
                          </wps:bodyPr>
                        </wps:wsp>
                        <wpg:grpSp>
                          <wpg:cNvPr id="5" name="Group 5"/>
                          <wpg:cNvGrpSpPr/>
                          <wpg:grpSpPr>
                            <a:xfrm>
                              <a:off x="76320" y="4212000"/>
                              <a:ext cx="2059200" cy="4910760"/>
                              <a:chOff x="0" y="0"/>
                              <a:chExt cx="2059200" cy="4910760"/>
                            </a:xfrm>
                          </wpg:grpSpPr>
                          <wpg:grpSp>
                            <wpg:cNvPr id="6" name="Group 6"/>
                            <wpg:cNvGrpSpPr/>
                            <wpg:grpSpPr>
                              <a:xfrm>
                                <a:off x="95040" y="0"/>
                                <a:ext cx="1652400" cy="4910760"/>
                                <a:chOff x="0" y="0"/>
                                <a:chExt cx="1652400" cy="4910760"/>
                              </a:xfrm>
                            </wpg:grpSpPr>
                            <wps:wsp>
                              <wps:cNvPr id="7" name="Freeform: Shape 7"/>
                              <wps:cNvSpPr/>
                              <wps:spPr>
                                <a:xfrm>
                                  <a:off x="360000" y="3157200"/>
                                  <a:ext cx="304200" cy="1096560"/>
                                </a:xfrm>
                                <a:custGeom>
                                  <a:avLst/>
                                  <a:gdLst/>
                                  <a:ahLst/>
                                  <a:cxnLst/>
                                  <a:rect l="l" t="t" r="r" b="b"/>
                                  <a:pathLst>
                                    <a:path w="122" h="440" extrusionOk="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056E8C"/>
                                </a:solidFill>
                                <a:ln w="9525" cap="flat" cmpd="sng">
                                  <a:solidFill>
                                    <a:srgbClr val="056E8C"/>
                                  </a:solidFill>
                                  <a:prstDash val="solid"/>
                                  <a:round/>
                                  <a:headEnd type="none" w="sm" len="sm"/>
                                  <a:tailEnd type="none" w="sm" len="sm"/>
                                </a:ln>
                              </wps:spPr>
                              <wps:bodyPr spcFirstLastPara="1" wrap="square" lIns="91425" tIns="91425" rIns="91425" bIns="91425" anchor="ctr" anchorCtr="0">
                                <a:noAutofit/>
                              </wps:bodyPr>
                            </wps:wsp>
                            <wps:wsp>
                              <wps:cNvPr id="8" name="Freeform: Shape 8"/>
                              <wps:cNvSpPr/>
                              <wps:spPr>
                                <a:xfrm>
                                  <a:off x="682200" y="4241160"/>
                                  <a:ext cx="288360" cy="669240"/>
                                </a:xfrm>
                                <a:custGeom>
                                  <a:avLst/>
                                  <a:gdLst/>
                                  <a:ahLst/>
                                  <a:cxnLst/>
                                  <a:rect l="l" t="t" r="r" b="b"/>
                                  <a:pathLst>
                                    <a:path w="116" h="269" extrusionOk="0">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056E8C"/>
                                </a:solidFill>
                                <a:ln w="9525" cap="flat" cmpd="sng">
                                  <a:solidFill>
                                    <a:srgbClr val="056E8C"/>
                                  </a:solidFill>
                                  <a:prstDash val="solid"/>
                                  <a:round/>
                                  <a:headEnd type="none" w="sm" len="sm"/>
                                  <a:tailEnd type="none" w="sm" len="sm"/>
                                </a:ln>
                              </wps:spPr>
                              <wps:bodyPr spcFirstLastPara="1" wrap="square" lIns="91425" tIns="91425" rIns="91425" bIns="91425" anchor="ctr" anchorCtr="0">
                                <a:noAutofit/>
                              </wps:bodyPr>
                            </wps:wsp>
                            <wps:wsp>
                              <wps:cNvPr id="9" name="Freeform: Shape 9"/>
                              <wps:cNvSpPr/>
                              <wps:spPr>
                                <a:xfrm>
                                  <a:off x="0" y="0"/>
                                  <a:ext cx="347400" cy="3177000"/>
                                </a:xfrm>
                                <a:custGeom>
                                  <a:avLst/>
                                  <a:gdLst/>
                                  <a:ahLst/>
                                  <a:cxnLst/>
                                  <a:rect l="l" t="t" r="r" b="b"/>
                                  <a:pathLst>
                                    <a:path w="140" h="1272" extrusionOk="0">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056E8C"/>
                                </a:solidFill>
                                <a:ln w="9525" cap="flat" cmpd="sng">
                                  <a:solidFill>
                                    <a:srgbClr val="056E8C"/>
                                  </a:solidFill>
                                  <a:prstDash val="solid"/>
                                  <a:round/>
                                  <a:headEnd type="none" w="sm" len="sm"/>
                                  <a:tailEnd type="none" w="sm" len="sm"/>
                                </a:ln>
                              </wps:spPr>
                              <wps:bodyPr spcFirstLastPara="1" wrap="square" lIns="91425" tIns="91425" rIns="91425" bIns="91425" anchor="ctr" anchorCtr="0">
                                <a:noAutofit/>
                              </wps:bodyPr>
                            </wps:wsp>
                            <wps:wsp>
                              <wps:cNvPr id="10" name="Freeform: Shape 10"/>
                              <wps:cNvSpPr/>
                              <wps:spPr>
                                <a:xfrm>
                                  <a:off x="315000" y="1022400"/>
                                  <a:ext cx="111600" cy="2132280"/>
                                </a:xfrm>
                                <a:custGeom>
                                  <a:avLst/>
                                  <a:gdLst/>
                                  <a:ahLst/>
                                  <a:cxnLst/>
                                  <a:rect l="l" t="t" r="r" b="b"/>
                                  <a:pathLst>
                                    <a:path w="45" h="854" extrusionOk="0">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056E8C"/>
                                </a:solidFill>
                                <a:ln w="9525" cap="flat" cmpd="sng">
                                  <a:solidFill>
                                    <a:srgbClr val="056E8C"/>
                                  </a:solidFill>
                                  <a:prstDash val="solid"/>
                                  <a:round/>
                                  <a:headEnd type="none" w="sm" len="sm"/>
                                  <a:tailEnd type="none" w="sm" len="sm"/>
                                </a:ln>
                              </wps:spPr>
                              <wps:bodyPr spcFirstLastPara="1" wrap="square" lIns="91425" tIns="91425" rIns="91425" bIns="91425" anchor="ctr" anchorCtr="0">
                                <a:noAutofit/>
                              </wps:bodyPr>
                            </wps:wsp>
                            <wps:wsp>
                              <wps:cNvPr id="11" name="Freeform: Shape 11"/>
                              <wps:cNvSpPr/>
                              <wps:spPr>
                                <a:xfrm>
                                  <a:off x="349920" y="3179520"/>
                                  <a:ext cx="384120" cy="1568520"/>
                                </a:xfrm>
                                <a:custGeom>
                                  <a:avLst/>
                                  <a:gdLst/>
                                  <a:ahLst/>
                                  <a:cxnLst/>
                                  <a:rect l="l" t="t" r="r" b="b"/>
                                  <a:pathLst>
                                    <a:path w="154" h="629" extrusionOk="0">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056E8C"/>
                                </a:solidFill>
                                <a:ln w="9525" cap="flat" cmpd="sng">
                                  <a:solidFill>
                                    <a:srgbClr val="056E8C"/>
                                  </a:solidFill>
                                  <a:prstDash val="solid"/>
                                  <a:round/>
                                  <a:headEnd type="none" w="sm" len="sm"/>
                                  <a:tailEnd type="none" w="sm" len="sm"/>
                                </a:ln>
                              </wps:spPr>
                              <wps:bodyPr spcFirstLastPara="1" wrap="square" lIns="91425" tIns="91425" rIns="91425" bIns="91425" anchor="ctr" anchorCtr="0">
                                <a:noAutofit/>
                              </wps:bodyPr>
                            </wps:wsp>
                            <wps:wsp>
                              <wps:cNvPr id="12" name="Freeform: Shape 12"/>
                              <wps:cNvSpPr/>
                              <wps:spPr>
                                <a:xfrm>
                                  <a:off x="757800" y="4740120"/>
                                  <a:ext cx="79920" cy="169560"/>
                                </a:xfrm>
                                <a:custGeom>
                                  <a:avLst/>
                                  <a:gdLst/>
                                  <a:ahLst/>
                                  <a:cxnLst/>
                                  <a:rect l="l" t="t" r="r" b="b"/>
                                  <a:pathLst>
                                    <a:path w="33" h="69" extrusionOk="0">
                                      <a:moveTo>
                                        <a:pt x="0" y="0"/>
                                      </a:moveTo>
                                      <a:lnTo>
                                        <a:pt x="33" y="69"/>
                                      </a:lnTo>
                                      <a:lnTo>
                                        <a:pt x="24" y="69"/>
                                      </a:lnTo>
                                      <a:lnTo>
                                        <a:pt x="12" y="35"/>
                                      </a:lnTo>
                                      <a:lnTo>
                                        <a:pt x="0" y="0"/>
                                      </a:lnTo>
                                      <a:close/>
                                    </a:path>
                                  </a:pathLst>
                                </a:custGeom>
                                <a:solidFill>
                                  <a:srgbClr val="056E8C"/>
                                </a:solidFill>
                                <a:ln w="9525" cap="flat" cmpd="sng">
                                  <a:solidFill>
                                    <a:srgbClr val="056E8C"/>
                                  </a:solidFill>
                                  <a:prstDash val="solid"/>
                                  <a:round/>
                                  <a:headEnd type="none" w="sm" len="sm"/>
                                  <a:tailEnd type="none" w="sm" len="sm"/>
                                </a:ln>
                              </wps:spPr>
                              <wps:bodyPr spcFirstLastPara="1" wrap="square" lIns="91425" tIns="91425" rIns="91425" bIns="91425" anchor="ctr" anchorCtr="0">
                                <a:noAutofit/>
                              </wps:bodyPr>
                            </wps:wsp>
                            <wps:wsp>
                              <wps:cNvPr id="13" name="Freeform: Shape 13"/>
                              <wps:cNvSpPr/>
                              <wps:spPr>
                                <a:xfrm>
                                  <a:off x="338040" y="3056760"/>
                                  <a:ext cx="36720" cy="230040"/>
                                </a:xfrm>
                                <a:custGeom>
                                  <a:avLst/>
                                  <a:gdLst/>
                                  <a:ahLst/>
                                  <a:cxnLst/>
                                  <a:rect l="l" t="t" r="r" b="b"/>
                                  <a:pathLst>
                                    <a:path w="15" h="93" extrusionOk="0">
                                      <a:moveTo>
                                        <a:pt x="0" y="0"/>
                                      </a:moveTo>
                                      <a:lnTo>
                                        <a:pt x="9" y="37"/>
                                      </a:lnTo>
                                      <a:lnTo>
                                        <a:pt x="9" y="40"/>
                                      </a:lnTo>
                                      <a:lnTo>
                                        <a:pt x="15" y="93"/>
                                      </a:lnTo>
                                      <a:lnTo>
                                        <a:pt x="5" y="49"/>
                                      </a:lnTo>
                                      <a:lnTo>
                                        <a:pt x="0" y="0"/>
                                      </a:lnTo>
                                      <a:close/>
                                    </a:path>
                                  </a:pathLst>
                                </a:custGeom>
                                <a:solidFill>
                                  <a:srgbClr val="056E8C"/>
                                </a:solidFill>
                                <a:ln w="9525" cap="flat" cmpd="sng">
                                  <a:solidFill>
                                    <a:srgbClr val="056E8C"/>
                                  </a:solidFill>
                                  <a:prstDash val="solid"/>
                                  <a:round/>
                                  <a:headEnd type="none" w="sm" len="sm"/>
                                  <a:tailEnd type="none" w="sm" len="sm"/>
                                </a:ln>
                              </wps:spPr>
                              <wps:bodyPr spcFirstLastPara="1" wrap="square" lIns="91425" tIns="91425" rIns="91425" bIns="91425" anchor="ctr" anchorCtr="0">
                                <a:noAutofit/>
                              </wps:bodyPr>
                            </wps:wsp>
                            <wps:wsp>
                              <wps:cNvPr id="14" name="Freeform: Shape 14"/>
                              <wps:cNvSpPr/>
                              <wps:spPr>
                                <a:xfrm>
                                  <a:off x="667440" y="2325960"/>
                                  <a:ext cx="984960" cy="1912680"/>
                                </a:xfrm>
                                <a:custGeom>
                                  <a:avLst/>
                                  <a:gdLst/>
                                  <a:ahLst/>
                                  <a:cxnLst/>
                                  <a:rect l="l" t="t" r="r" b="b"/>
                                  <a:pathLst>
                                    <a:path w="394" h="766" extrusionOk="0">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056E8C"/>
                                </a:solidFill>
                                <a:ln w="9525" cap="flat" cmpd="sng">
                                  <a:solidFill>
                                    <a:srgbClr val="056E8C"/>
                                  </a:solidFill>
                                  <a:prstDash val="solid"/>
                                  <a:round/>
                                  <a:headEnd type="none" w="sm" len="sm"/>
                                  <a:tailEnd type="none" w="sm" len="sm"/>
                                </a:ln>
                              </wps:spPr>
                              <wps:bodyPr spcFirstLastPara="1" wrap="square" lIns="91425" tIns="91425" rIns="91425" bIns="91425" anchor="ctr" anchorCtr="0">
                                <a:noAutofit/>
                              </wps:bodyPr>
                            </wps:wsp>
                            <wps:wsp>
                              <wps:cNvPr id="15" name="Freeform: Shape 15"/>
                              <wps:cNvSpPr/>
                              <wps:spPr>
                                <a:xfrm>
                                  <a:off x="667440" y="4255560"/>
                                  <a:ext cx="87480" cy="482040"/>
                                </a:xfrm>
                                <a:custGeom>
                                  <a:avLst/>
                                  <a:gdLst/>
                                  <a:ahLst/>
                                  <a:cxnLst/>
                                  <a:rect l="l" t="t" r="r" b="b"/>
                                  <a:pathLst>
                                    <a:path w="36" h="194" extrusionOk="0">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056E8C"/>
                                </a:solid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6" name="Freeform: Shape 16"/>
                              <wps:cNvSpPr/>
                              <wps:spPr>
                                <a:xfrm>
                                  <a:off x="737280" y="4750560"/>
                                  <a:ext cx="74880" cy="160200"/>
                                </a:xfrm>
                                <a:custGeom>
                                  <a:avLst/>
                                  <a:gdLst/>
                                  <a:ahLst/>
                                  <a:cxnLst/>
                                  <a:rect l="l" t="t" r="r" b="b"/>
                                  <a:pathLst>
                                    <a:path w="31" h="65" extrusionOk="0">
                                      <a:moveTo>
                                        <a:pt x="0" y="0"/>
                                      </a:moveTo>
                                      <a:lnTo>
                                        <a:pt x="31" y="65"/>
                                      </a:lnTo>
                                      <a:lnTo>
                                        <a:pt x="23" y="65"/>
                                      </a:lnTo>
                                      <a:lnTo>
                                        <a:pt x="0" y="0"/>
                                      </a:lnTo>
                                      <a:close/>
                                    </a:path>
                                  </a:pathLst>
                                </a:custGeom>
                                <a:solidFill>
                                  <a:srgbClr val="056E8C"/>
                                </a:solid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7" name="Freeform: Shape 17"/>
                              <wps:cNvSpPr/>
                              <wps:spPr>
                                <a:xfrm>
                                  <a:off x="667440" y="4198680"/>
                                  <a:ext cx="15120" cy="102240"/>
                                </a:xfrm>
                                <a:custGeom>
                                  <a:avLst/>
                                  <a:gdLst/>
                                  <a:ahLst/>
                                  <a:cxnLst/>
                                  <a:rect l="l" t="t" r="r" b="b"/>
                                  <a:pathLst>
                                    <a:path w="7" h="42" extrusionOk="0">
                                      <a:moveTo>
                                        <a:pt x="0" y="0"/>
                                      </a:moveTo>
                                      <a:lnTo>
                                        <a:pt x="6" y="17"/>
                                      </a:lnTo>
                                      <a:lnTo>
                                        <a:pt x="7" y="42"/>
                                      </a:lnTo>
                                      <a:lnTo>
                                        <a:pt x="6" y="39"/>
                                      </a:lnTo>
                                      <a:lnTo>
                                        <a:pt x="0" y="23"/>
                                      </a:lnTo>
                                      <a:lnTo>
                                        <a:pt x="0" y="0"/>
                                      </a:lnTo>
                                      <a:close/>
                                    </a:path>
                                  </a:pathLst>
                                </a:custGeom>
                                <a:solidFill>
                                  <a:srgbClr val="056E8C"/>
                                </a:solidFill>
                                <a:ln w="9525" cap="flat" cmpd="sng">
                                  <a:solidFill>
                                    <a:srgbClr val="056E8C"/>
                                  </a:solidFill>
                                  <a:prstDash val="solid"/>
                                  <a:round/>
                                  <a:headEnd type="none" w="sm" len="sm"/>
                                  <a:tailEnd type="none" w="sm" len="sm"/>
                                </a:ln>
                              </wps:spPr>
                              <wps:bodyPr spcFirstLastPara="1" wrap="square" lIns="91425" tIns="91425" rIns="91425" bIns="91425" anchor="ctr" anchorCtr="0">
                                <a:noAutofit/>
                              </wps:bodyPr>
                            </wps:wsp>
                            <wps:wsp>
                              <wps:cNvPr id="18" name="Freeform: Shape 18"/>
                              <wps:cNvSpPr/>
                              <wps:spPr>
                                <a:xfrm>
                                  <a:off x="704880" y="4617720"/>
                                  <a:ext cx="109800" cy="291960"/>
                                </a:xfrm>
                                <a:custGeom>
                                  <a:avLst/>
                                  <a:gdLst/>
                                  <a:ahLst/>
                                  <a:cxnLst/>
                                  <a:rect l="l" t="t" r="r" b="b"/>
                                  <a:pathLst>
                                    <a:path w="45" h="118" extrusionOk="0">
                                      <a:moveTo>
                                        <a:pt x="0" y="0"/>
                                      </a:moveTo>
                                      <a:lnTo>
                                        <a:pt x="6" y="16"/>
                                      </a:lnTo>
                                      <a:lnTo>
                                        <a:pt x="21" y="49"/>
                                      </a:lnTo>
                                      <a:lnTo>
                                        <a:pt x="33" y="84"/>
                                      </a:lnTo>
                                      <a:lnTo>
                                        <a:pt x="45" y="118"/>
                                      </a:lnTo>
                                      <a:lnTo>
                                        <a:pt x="44" y="118"/>
                                      </a:lnTo>
                                      <a:lnTo>
                                        <a:pt x="13" y="53"/>
                                      </a:lnTo>
                                      <a:lnTo>
                                        <a:pt x="11" y="42"/>
                                      </a:lnTo>
                                      <a:lnTo>
                                        <a:pt x="0" y="0"/>
                                      </a:lnTo>
                                      <a:close/>
                                    </a:path>
                                  </a:pathLst>
                                </a:custGeom>
                                <a:solidFill>
                                  <a:srgbClr val="056E8C"/>
                                </a:solidFill>
                                <a:ln w="9525" cap="flat" cmpd="sng">
                                  <a:solidFill>
                                    <a:srgbClr val="056E8C"/>
                                  </a:solidFill>
                                  <a:prstDash val="solid"/>
                                  <a:round/>
                                  <a:headEnd type="none" w="sm" len="sm"/>
                                  <a:tailEnd type="none" w="sm" len="sm"/>
                                </a:ln>
                              </wps:spPr>
                              <wps:bodyPr spcFirstLastPara="1" wrap="square" lIns="91425" tIns="91425" rIns="91425" bIns="91425" anchor="ctr" anchorCtr="0">
                                <a:noAutofit/>
                              </wps:bodyPr>
                            </wps:wsp>
                          </wpg:grpSp>
                          <wpg:grpSp>
                            <wpg:cNvPr id="19" name="Group 19"/>
                            <wpg:cNvGrpSpPr/>
                            <wpg:grpSpPr>
                              <a:xfrm>
                                <a:off x="0" y="968400"/>
                                <a:ext cx="2059200" cy="3942000"/>
                                <a:chOff x="0" y="0"/>
                                <a:chExt cx="2059200" cy="3942000"/>
                              </a:xfrm>
                            </wpg:grpSpPr>
                            <wps:wsp>
                              <wps:cNvPr id="20" name="Freeform: Shape 20"/>
                              <wps:cNvSpPr/>
                              <wps:spPr>
                                <a:xfrm>
                                  <a:off x="89280" y="1267920"/>
                                  <a:ext cx="466200" cy="1677600"/>
                                </a:xfrm>
                                <a:custGeom>
                                  <a:avLst/>
                                  <a:gdLst/>
                                  <a:ahLst/>
                                  <a:cxnLst/>
                                  <a:rect l="l" t="t" r="r" b="b"/>
                                  <a:pathLst>
                                    <a:path w="125" h="450" extrusionOk="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86BAD5">
                                    <a:alpha val="20000"/>
                                  </a:srgbClr>
                                </a:solidFill>
                                <a:ln w="9525" cap="flat" cmpd="sng">
                                  <a:solidFill>
                                    <a:srgbClr val="86BAD5">
                                      <a:alpha val="20000"/>
                                    </a:srgbClr>
                                  </a:solidFill>
                                  <a:prstDash val="solid"/>
                                  <a:round/>
                                  <a:headEnd type="none" w="sm" len="sm"/>
                                  <a:tailEnd type="none" w="sm" len="sm"/>
                                </a:ln>
                              </wps:spPr>
                              <wps:bodyPr spcFirstLastPara="1" wrap="square" lIns="91425" tIns="91425" rIns="91425" bIns="91425" anchor="ctr" anchorCtr="0">
                                <a:noAutofit/>
                              </wps:bodyPr>
                            </wps:wsp>
                            <wps:wsp>
                              <wps:cNvPr id="21" name="Freeform: Shape 21"/>
                              <wps:cNvSpPr/>
                              <wps:spPr>
                                <a:xfrm>
                                  <a:off x="584640" y="2918520"/>
                                  <a:ext cx="438840" cy="1023120"/>
                                </a:xfrm>
                                <a:custGeom>
                                  <a:avLst/>
                                  <a:gdLst/>
                                  <a:ahLst/>
                                  <a:cxnLst/>
                                  <a:rect l="l" t="t" r="r" b="b"/>
                                  <a:pathLst>
                                    <a:path w="118" h="275" extrusionOk="0">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86BAD5">
                                    <a:alpha val="20000"/>
                                  </a:srgbClr>
                                </a:solidFill>
                                <a:ln w="9525" cap="flat" cmpd="sng">
                                  <a:solidFill>
                                    <a:srgbClr val="86BAD5">
                                      <a:alpha val="20000"/>
                                    </a:srgbClr>
                                  </a:solidFill>
                                  <a:prstDash val="solid"/>
                                  <a:round/>
                                  <a:headEnd type="none" w="sm" len="sm"/>
                                  <a:tailEnd type="none" w="sm" len="sm"/>
                                </a:ln>
                              </wps:spPr>
                              <wps:bodyPr spcFirstLastPara="1" wrap="square" lIns="91425" tIns="91425" rIns="91425" bIns="91425" anchor="ctr" anchorCtr="0">
                                <a:noAutofit/>
                              </wps:bodyPr>
                            </wps:wsp>
                            <wps:wsp>
                              <wps:cNvPr id="22" name="Freeform: Shape 22"/>
                              <wps:cNvSpPr/>
                              <wps:spPr>
                                <a:xfrm>
                                  <a:off x="0" y="846360"/>
                                  <a:ext cx="72360" cy="448920"/>
                                </a:xfrm>
                                <a:custGeom>
                                  <a:avLst/>
                                  <a:gdLst/>
                                  <a:ahLst/>
                                  <a:cxnLst/>
                                  <a:rect l="l" t="t" r="r" b="b"/>
                                  <a:pathLst>
                                    <a:path w="20" h="121" extrusionOk="0">
                                      <a:moveTo>
                                        <a:pt x="0" y="0"/>
                                      </a:moveTo>
                                      <a:lnTo>
                                        <a:pt x="16" y="72"/>
                                      </a:lnTo>
                                      <a:lnTo>
                                        <a:pt x="20" y="121"/>
                                      </a:lnTo>
                                      <a:lnTo>
                                        <a:pt x="18" y="112"/>
                                      </a:lnTo>
                                      <a:lnTo>
                                        <a:pt x="0" y="31"/>
                                      </a:lnTo>
                                      <a:lnTo>
                                        <a:pt x="0" y="0"/>
                                      </a:lnTo>
                                      <a:close/>
                                    </a:path>
                                  </a:pathLst>
                                </a:custGeom>
                                <a:solidFill>
                                  <a:srgbClr val="000000"/>
                                </a:solid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3" name="Freeform: Shape 23"/>
                              <wps:cNvSpPr/>
                              <wps:spPr>
                                <a:xfrm>
                                  <a:off x="74880" y="1297800"/>
                                  <a:ext cx="589320" cy="2397600"/>
                                </a:xfrm>
                                <a:custGeom>
                                  <a:avLst/>
                                  <a:gdLst/>
                                  <a:ahLst/>
                                  <a:cxnLst/>
                                  <a:rect l="l" t="t" r="r" b="b"/>
                                  <a:pathLst>
                                    <a:path w="158" h="643" extrusionOk="0">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86BAD5">
                                    <a:alpha val="20000"/>
                                  </a:srgbClr>
                                </a:solidFill>
                                <a:ln w="9525" cap="flat" cmpd="sng">
                                  <a:solidFill>
                                    <a:srgbClr val="86BAD5">
                                      <a:alpha val="20000"/>
                                    </a:srgbClr>
                                  </a:solidFill>
                                  <a:prstDash val="solid"/>
                                  <a:round/>
                                  <a:headEnd type="none" w="sm" len="sm"/>
                                  <a:tailEnd type="none" w="sm" len="sm"/>
                                </a:ln>
                              </wps:spPr>
                              <wps:bodyPr spcFirstLastPara="1" wrap="square" lIns="91425" tIns="91425" rIns="91425" bIns="91425" anchor="ctr" anchorCtr="0">
                                <a:noAutofit/>
                              </wps:bodyPr>
                            </wps:wsp>
                            <wps:wsp>
                              <wps:cNvPr id="24" name="Freeform: Shape 24"/>
                              <wps:cNvSpPr/>
                              <wps:spPr>
                                <a:xfrm>
                                  <a:off x="696600" y="3679920"/>
                                  <a:ext cx="120600" cy="262080"/>
                                </a:xfrm>
                                <a:custGeom>
                                  <a:avLst/>
                                  <a:gdLst/>
                                  <a:ahLst/>
                                  <a:cxnLst/>
                                  <a:rect l="l" t="t" r="r" b="b"/>
                                  <a:pathLst>
                                    <a:path w="33" h="71" extrusionOk="0">
                                      <a:moveTo>
                                        <a:pt x="0" y="0"/>
                                      </a:moveTo>
                                      <a:lnTo>
                                        <a:pt x="33" y="71"/>
                                      </a:lnTo>
                                      <a:lnTo>
                                        <a:pt x="24" y="71"/>
                                      </a:lnTo>
                                      <a:lnTo>
                                        <a:pt x="11" y="36"/>
                                      </a:lnTo>
                                      <a:lnTo>
                                        <a:pt x="0" y="0"/>
                                      </a:lnTo>
                                      <a:close/>
                                    </a:path>
                                  </a:pathLst>
                                </a:custGeom>
                                <a:solidFill>
                                  <a:srgbClr val="86BAD5">
                                    <a:alpha val="20000"/>
                                  </a:srgbClr>
                                </a:solidFill>
                                <a:ln w="9525" cap="flat" cmpd="sng">
                                  <a:solidFill>
                                    <a:srgbClr val="86BAD5">
                                      <a:alpha val="20000"/>
                                    </a:srgbClr>
                                  </a:solidFill>
                                  <a:prstDash val="solid"/>
                                  <a:round/>
                                  <a:headEnd type="none" w="sm" len="sm"/>
                                  <a:tailEnd type="none" w="sm" len="sm"/>
                                </a:ln>
                              </wps:spPr>
                              <wps:bodyPr spcFirstLastPara="1" wrap="square" lIns="91425" tIns="91425" rIns="91425" bIns="91425" anchor="ctr" anchorCtr="0">
                                <a:noAutofit/>
                              </wps:bodyPr>
                            </wps:wsp>
                            <wps:wsp>
                              <wps:cNvPr id="25" name="Freeform: Shape 25"/>
                              <wps:cNvSpPr/>
                              <wps:spPr>
                                <a:xfrm>
                                  <a:off x="59400" y="1114920"/>
                                  <a:ext cx="53280" cy="351720"/>
                                </a:xfrm>
                                <a:custGeom>
                                  <a:avLst/>
                                  <a:gdLst/>
                                  <a:ahLst/>
                                  <a:cxnLst/>
                                  <a:rect l="l" t="t" r="r" b="b"/>
                                  <a:pathLst>
                                    <a:path w="15" h="95" extrusionOk="0">
                                      <a:moveTo>
                                        <a:pt x="0" y="0"/>
                                      </a:moveTo>
                                      <a:lnTo>
                                        <a:pt x="8" y="37"/>
                                      </a:lnTo>
                                      <a:lnTo>
                                        <a:pt x="8" y="41"/>
                                      </a:lnTo>
                                      <a:lnTo>
                                        <a:pt x="15" y="95"/>
                                      </a:lnTo>
                                      <a:lnTo>
                                        <a:pt x="4" y="49"/>
                                      </a:lnTo>
                                      <a:lnTo>
                                        <a:pt x="0" y="0"/>
                                      </a:lnTo>
                                      <a:close/>
                                    </a:path>
                                  </a:pathLst>
                                </a:custGeom>
                                <a:solidFill>
                                  <a:srgbClr val="000000"/>
                                </a:solid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6" name="Freeform: Shape 26"/>
                              <wps:cNvSpPr/>
                              <wps:spPr>
                                <a:xfrm>
                                  <a:off x="558000" y="0"/>
                                  <a:ext cx="1501200" cy="2916000"/>
                                </a:xfrm>
                                <a:custGeom>
                                  <a:avLst/>
                                  <a:gdLst/>
                                  <a:ahLst/>
                                  <a:cxnLst/>
                                  <a:rect l="l" t="t" r="r" b="b"/>
                                  <a:pathLst>
                                    <a:path w="402" h="782" extrusionOk="0">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86BAD5">
                                    <a:alpha val="20000"/>
                                  </a:srgbClr>
                                </a:solidFill>
                                <a:ln w="9525" cap="flat" cmpd="sng">
                                  <a:solidFill>
                                    <a:srgbClr val="86BAD5">
                                      <a:alpha val="20000"/>
                                    </a:srgbClr>
                                  </a:solidFill>
                                  <a:prstDash val="solid"/>
                                  <a:round/>
                                  <a:headEnd type="none" w="sm" len="sm"/>
                                  <a:tailEnd type="none" w="sm" len="sm"/>
                                </a:ln>
                              </wps:spPr>
                              <wps:bodyPr spcFirstLastPara="1" wrap="square" lIns="91425" tIns="91425" rIns="91425" bIns="91425" anchor="ctr" anchorCtr="0">
                                <a:noAutofit/>
                              </wps:bodyPr>
                            </wps:wsp>
                            <wps:wsp>
                              <wps:cNvPr id="27" name="Freeform: Shape 27"/>
                              <wps:cNvSpPr/>
                              <wps:spPr>
                                <a:xfrm>
                                  <a:off x="558000" y="2948400"/>
                                  <a:ext cx="135720" cy="728280"/>
                                </a:xfrm>
                                <a:custGeom>
                                  <a:avLst/>
                                  <a:gdLst/>
                                  <a:ahLst/>
                                  <a:cxnLst/>
                                  <a:rect l="l" t="t" r="r" b="b"/>
                                  <a:pathLst>
                                    <a:path w="37" h="196" extrusionOk="0">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86BAD5">
                                    <a:alpha val="20000"/>
                                  </a:srgbClr>
                                </a:solidFill>
                                <a:ln w="9525" cap="flat" cmpd="sng">
                                  <a:solidFill>
                                    <a:srgbClr val="86BAD5">
                                      <a:alpha val="20000"/>
                                    </a:srgbClr>
                                  </a:solidFill>
                                  <a:prstDash val="solid"/>
                                  <a:round/>
                                  <a:headEnd type="none" w="sm" len="sm"/>
                                  <a:tailEnd type="none" w="sm" len="sm"/>
                                </a:ln>
                              </wps:spPr>
                              <wps:bodyPr spcFirstLastPara="1" wrap="square" lIns="91425" tIns="91425" rIns="91425" bIns="91425" anchor="ctr" anchorCtr="0">
                                <a:noAutofit/>
                              </wps:bodyPr>
                            </wps:wsp>
                            <wps:wsp>
                              <wps:cNvPr id="28" name="Freeform: Shape 28"/>
                              <wps:cNvSpPr/>
                              <wps:spPr>
                                <a:xfrm>
                                  <a:off x="666720" y="3698280"/>
                                  <a:ext cx="113040" cy="243720"/>
                                </a:xfrm>
                                <a:custGeom>
                                  <a:avLst/>
                                  <a:gdLst/>
                                  <a:ahLst/>
                                  <a:cxnLst/>
                                  <a:rect l="l" t="t" r="r" b="b"/>
                                  <a:pathLst>
                                    <a:path w="31" h="66" extrusionOk="0">
                                      <a:moveTo>
                                        <a:pt x="0" y="0"/>
                                      </a:moveTo>
                                      <a:lnTo>
                                        <a:pt x="31" y="66"/>
                                      </a:lnTo>
                                      <a:lnTo>
                                        <a:pt x="24" y="66"/>
                                      </a:lnTo>
                                      <a:lnTo>
                                        <a:pt x="0" y="0"/>
                                      </a:lnTo>
                                      <a:close/>
                                    </a:path>
                                  </a:pathLst>
                                </a:custGeom>
                                <a:solidFill>
                                  <a:srgbClr val="86BAD5">
                                    <a:alpha val="20000"/>
                                  </a:srgbClr>
                                </a:solidFill>
                                <a:ln w="9525" cap="flat" cmpd="sng">
                                  <a:solidFill>
                                    <a:srgbClr val="86BAD5">
                                      <a:alpha val="20000"/>
                                    </a:srgbClr>
                                  </a:solidFill>
                                  <a:prstDash val="solid"/>
                                  <a:round/>
                                  <a:headEnd type="none" w="sm" len="sm"/>
                                  <a:tailEnd type="none" w="sm" len="sm"/>
                                </a:ln>
                              </wps:spPr>
                              <wps:bodyPr spcFirstLastPara="1" wrap="square" lIns="91425" tIns="91425" rIns="91425" bIns="91425" anchor="ctr" anchorCtr="0">
                                <a:noAutofit/>
                              </wps:bodyPr>
                            </wps:wsp>
                            <wps:wsp>
                              <wps:cNvPr id="29" name="Freeform: Shape 29"/>
                              <wps:cNvSpPr/>
                              <wps:spPr>
                                <a:xfrm>
                                  <a:off x="558000" y="2854800"/>
                                  <a:ext cx="23400" cy="158040"/>
                                </a:xfrm>
                                <a:custGeom>
                                  <a:avLst/>
                                  <a:gdLst/>
                                  <a:ahLst/>
                                  <a:cxnLst/>
                                  <a:rect l="l" t="t" r="r" b="b"/>
                                  <a:pathLst>
                                    <a:path w="7" h="43" extrusionOk="0">
                                      <a:moveTo>
                                        <a:pt x="0" y="0"/>
                                      </a:moveTo>
                                      <a:lnTo>
                                        <a:pt x="7" y="17"/>
                                      </a:lnTo>
                                      <a:lnTo>
                                        <a:pt x="7" y="43"/>
                                      </a:lnTo>
                                      <a:lnTo>
                                        <a:pt x="6" y="40"/>
                                      </a:lnTo>
                                      <a:lnTo>
                                        <a:pt x="0" y="25"/>
                                      </a:lnTo>
                                      <a:lnTo>
                                        <a:pt x="0" y="0"/>
                                      </a:lnTo>
                                      <a:close/>
                                    </a:path>
                                  </a:pathLst>
                                </a:custGeom>
                                <a:solidFill>
                                  <a:srgbClr val="000000"/>
                                </a:solidFill>
                                <a:ln w="9525" cap="flat" cmpd="sng">
                                  <a:solidFill>
                                    <a:srgbClr val="056E8C">
                                      <a:alpha val="20000"/>
                                    </a:srgbClr>
                                  </a:solidFill>
                                  <a:prstDash val="solid"/>
                                  <a:round/>
                                  <a:headEnd type="none" w="sm" len="sm"/>
                                  <a:tailEnd type="none" w="sm" len="sm"/>
                                </a:ln>
                              </wps:spPr>
                              <wps:bodyPr spcFirstLastPara="1" wrap="square" lIns="91425" tIns="91425" rIns="91425" bIns="91425" anchor="ctr" anchorCtr="0">
                                <a:noAutofit/>
                              </wps:bodyPr>
                            </wps:wsp>
                            <wps:wsp>
                              <wps:cNvPr id="30" name="Freeform: Shape 30"/>
                              <wps:cNvSpPr/>
                              <wps:spPr>
                                <a:xfrm>
                                  <a:off x="614520" y="3493080"/>
                                  <a:ext cx="168840" cy="448920"/>
                                </a:xfrm>
                                <a:custGeom>
                                  <a:avLst/>
                                  <a:gdLst/>
                                  <a:ahLst/>
                                  <a:cxnLst/>
                                  <a:rect l="l" t="t" r="r" b="b"/>
                                  <a:pathLst>
                                    <a:path w="46" h="121" extrusionOk="0">
                                      <a:moveTo>
                                        <a:pt x="0" y="0"/>
                                      </a:moveTo>
                                      <a:lnTo>
                                        <a:pt x="7" y="16"/>
                                      </a:lnTo>
                                      <a:lnTo>
                                        <a:pt x="22" y="50"/>
                                      </a:lnTo>
                                      <a:lnTo>
                                        <a:pt x="33" y="86"/>
                                      </a:lnTo>
                                      <a:lnTo>
                                        <a:pt x="46" y="121"/>
                                      </a:lnTo>
                                      <a:lnTo>
                                        <a:pt x="45" y="121"/>
                                      </a:lnTo>
                                      <a:lnTo>
                                        <a:pt x="14" y="55"/>
                                      </a:lnTo>
                                      <a:lnTo>
                                        <a:pt x="11" y="44"/>
                                      </a:lnTo>
                                      <a:lnTo>
                                        <a:pt x="0" y="0"/>
                                      </a:lnTo>
                                      <a:close/>
                                    </a:path>
                                  </a:pathLst>
                                </a:custGeom>
                                <a:solidFill>
                                  <a:srgbClr val="86BAD5">
                                    <a:alpha val="20000"/>
                                  </a:srgbClr>
                                </a:solidFill>
                                <a:ln w="9525" cap="flat" cmpd="sng">
                                  <a:solidFill>
                                    <a:srgbClr val="86BAD5">
                                      <a:alpha val="20000"/>
                                    </a:srgbClr>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w:pict>
              <v:group w14:anchorId="15BE6F92" id="Group 1" o:spid="_x0000_s1026" style="position:absolute;margin-left:24.45pt;margin-top:0;width:168.2pt;height:718.75pt;z-index:-251658240;mso-wrap-distance-left:0;mso-wrap-distance-right:0;mso-position-horizontal-relative:page;mso-position-vertical:center;mso-position-vertical-relative:page" coordorigin="42782" coordsize="21403,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">
                <v:group id="Group 2" o:spid="_x0000_s1027" style="position:absolute;left:42782;width:21355;height:75600" coordsize="21355,91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28" style="position:absolute;width:21355;height:91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1981A132" w14:textId="77777777" w:rsidR="00071486" w:rsidRDefault="00071486">
                          <w:pPr>
                            <w:spacing w:after="0" w:line="240" w:lineRule="auto"/>
                            <w:textDirection w:val="btLr"/>
                          </w:pPr>
                        </w:p>
                      </w:txbxContent>
                    </v:textbox>
                  </v:rect>
                  <v:rect id="Rectangle 4" o:spid="_x0000_s1029" style="position:absolute;width:1918;height:91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" fillcolor="#004d9a" stroked="f">
                    <v:textbox inset="2.53958mm,2.53958mm,2.53958mm,2.53958mm">
                      <w:txbxContent>
                        <w:p w14:paraId="4B9EED27" w14:textId="77777777" w:rsidR="00071486" w:rsidRDefault="00071486">
                          <w:pPr>
                            <w:spacing w:after="0" w:line="240" w:lineRule="auto"/>
                            <w:textDirection w:val="btLr"/>
                          </w:pPr>
                        </w:p>
                      </w:txbxContent>
                    </v:textbox>
                  </v:rect>
                  <v:group id="Group 5" o:spid="_x0000_s1030" style="position:absolute;left:763;top:42120;width:20592;height:49107" coordsize="20592,4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1" style="position:absolute;left:950;width:16524;height:49107" coordsize="16524,4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Shape 7" o:spid="_x0000_s1032" style="position:absolute;left:3600;top:31572;width:3042;height:10965;visibility:visible;mso-wrap-style:square;v-text-anchor:middle"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" path="m,l39,152,84,304r38,113l122,440,76,306,39,180,6,53,,xe" fillcolor="#056e8c" strokecolor="#056e8c">
                        <v:stroke startarrowwidth="narrow" startarrowlength="short" endarrowwidth="narrow" endarrowlength="short"/>
                        <v:path arrowok="t" o:extrusionok="f"/>
                      </v:shape>
                      <v:shape id="Freeform: Shape 8" o:spid="_x0000_s1033" style="position:absolute;left:6822;top:42411;width:2883;height:6693;visibility:visible;mso-wrap-style:square;v-text-anchor:middle"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" path="m,l8,19,37,93r30,74l116,269r-8,l60,169,30,98,1,25,,xe" fillcolor="#056e8c" strokecolor="#056e8c">
                        <v:stroke startarrowwidth="narrow" startarrowlength="short" endarrowwidth="narrow" endarrowlength="short"/>
                        <v:path arrowok="t" o:extrusionok="f"/>
                      </v:shape>
                      <v:shape id="Freeform: Shape 9" o:spid="_x0000_s1034" style="position:absolute;width:3474;height:31770;visibility:visible;mso-wrap-style:square;v-text-anchor:middle"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" path="m,l,,1,79r2,80l12,317,23,476,39,634,58,792,83,948r24,138l135,1223r5,49l138,1262,105,1106,77,949,53,792,35,634,20,476,9,317,2,159,,79,,xe" fillcolor="#056e8c" strokecolor="#056e8c">
                        <v:stroke startarrowwidth="narrow" startarrowlength="short" endarrowwidth="narrow" endarrowlength="short"/>
                        <v:path arrowok="t" o:extrusionok="f"/>
                      </v:shape>
                      <v:shape id="Freeform: Shape 10" o:spid="_x0000_s1035" style="position:absolute;left:3150;top:10224;width:1116;height:21322;visibility:visible;mso-wrap-style:square;v-text-anchor:middle"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" path="m45,r,l35,66r-9,67l14,267,6,401,3,534,6,669r8,134l18,854r,-3l9,814,8,803,1,669,,534,3,401,12,267,25,132,34,66,45,xe" fillcolor="#056e8c" strokecolor="#056e8c">
                        <v:stroke startarrowwidth="narrow" startarrowlength="short" endarrowwidth="narrow" endarrowlength="short"/>
                        <v:path arrowok="t" o:extrusionok="f"/>
                      </v:shape>
                      <v:shape id="Freeform: Shape 11" o:spid="_x0000_s1036" style="position:absolute;left:3499;top:31795;width:3841;height:15685;visibility:visible;mso-wrap-style:square;v-text-anchor:middle"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" path="m,l10,44r11,82l34,207r19,86l75,380r25,86l120,521r21,55l152,618r2,11l140,595,115,532,93,468,67,383,47,295,28,207,12,104,,xe" fillcolor="#056e8c" strokecolor="#056e8c">
                        <v:stroke startarrowwidth="narrow" startarrowlength="short" endarrowwidth="narrow" endarrowlength="short"/>
                        <v:path arrowok="t" o:extrusionok="f"/>
                      </v:shape>
                      <v:shape id="Freeform: Shape 12" o:spid="_x0000_s1037" style="position:absolute;left:7578;top:47401;width:799;height:1695;visibility:visible;mso-wrap-style:square;v-text-anchor:middle"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" path="m,l33,69r-9,l12,35,,xe" fillcolor="#056e8c" strokecolor="#056e8c">
                        <v:stroke startarrowwidth="narrow" startarrowlength="short" endarrowwidth="narrow" endarrowlength="short"/>
                        <v:path arrowok="t" o:extrusionok="f"/>
                      </v:shape>
                      <v:shape id="Freeform: Shape 13" o:spid="_x0000_s1038" style="position:absolute;left:3380;top:30567;width:367;height:2301;visibility:visible;mso-wrap-style:square;v-text-anchor:middle"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" path="m,l9,37r,3l15,93,5,49,,xe" fillcolor="#056e8c" strokecolor="#056e8c">
                        <v:stroke startarrowwidth="narrow" startarrowlength="short" endarrowwidth="narrow" endarrowlength="short"/>
                        <v:path arrowok="t" o:extrusionok="f"/>
                      </v:shape>
                      <v:shape id="Freeform: Shape 14" o:spid="_x0000_s1039" style="position:absolute;left:6674;top:23259;width:9850;height:19127;visibility:visible;mso-wrap-style:square;v-text-anchor:middle"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" path="m394,r,l356,38,319,77r-35,40l249,160r-42,58l168,276r-37,63l98,402,69,467,45,535,26,604,14,673,7,746,6,766,,749r1,-5l7,673,21,603,40,533,65,466,94,400r33,-64l164,275r40,-60l248,158r34,-42l318,76,354,37,394,xe" fillcolor="#056e8c" strokecolor="#056e8c">
                        <v:stroke startarrowwidth="narrow" startarrowlength="short" endarrowwidth="narrow" endarrowlength="short"/>
                        <v:path arrowok="t" o:extrusionok="f"/>
                      </v:shape>
                      <v:shape id="Freeform: Shape 15" o:spid="_x0000_s1040" style="position:absolute;left:6674;top:42555;width:875;height:4821;visibility:visible;mso-wrap-style:square;v-text-anchor:middle"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" path="m,l6,16r1,3l11,80r9,52l33,185r3,9l21,161,15,145,5,81,1,41,,xe" fillcolor="#056e8c">
                        <v:stroke startarrowwidth="narrow" startarrowlength="short" endarrowwidth="narrow" endarrowlength="short"/>
                        <v:path arrowok="t" o:extrusionok="f"/>
                      </v:shape>
                      <v:shape id="Freeform: Shape 16" o:spid="_x0000_s1041" style="position:absolute;left:7372;top:47505;width:749;height:1602;visibility:visible;mso-wrap-style:square;v-text-anchor:middle"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" path="m,l31,65r-8,l,xe" fillcolor="#056e8c">
                        <v:stroke startarrowwidth="narrow" startarrowlength="short" endarrowwidth="narrow" endarrowlength="short"/>
                        <v:path arrowok="t" o:extrusionok="f"/>
                      </v:shape>
                      <v:shape id="Freeform: Shape 17" o:spid="_x0000_s1042" style="position:absolute;left:6674;top:41986;width:151;height:1023;visibility:visible;mso-wrap-style:square;v-text-anchor:middle"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" path="m,l6,17,7,42,6,39,,23,,xe" fillcolor="#056e8c" strokecolor="#056e8c">
                        <v:stroke startarrowwidth="narrow" startarrowlength="short" endarrowwidth="narrow" endarrowlength="short"/>
                        <v:path arrowok="t" o:extrusionok="f"/>
                      </v:shape>
                      <v:shape id="Freeform: Shape 18" o:spid="_x0000_s1043" style="position:absolute;left:7048;top:46177;width:1098;height:2919;visibility:visible;mso-wrap-style:square;v-text-anchor:middle"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" path="m,l6,16,21,49,33,84r12,34l44,118,13,53,11,42,,xe" fillcolor="#056e8c" strokecolor="#056e8c">
                        <v:stroke startarrowwidth="narrow" startarrowlength="short" endarrowwidth="narrow" endarrowlength="short"/>
                        <v:path arrowok="t" o:extrusionok="f"/>
                      </v:shape>
                    </v:group>
                    <v:group id="Group 19" o:spid="_x0000_s1044" style="position:absolute;top:9684;width:20592;height:39420" coordsize="20592,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Shape 20" o:spid="_x0000_s1045" style="position:absolute;left:892;top:12679;width:4662;height:16776;visibility:visible;mso-wrap-style:square;v-text-anchor:middle"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" path="m,l41,155,86,309r39,116l125,450,79,311,41,183,7,54,,xe" fillcolor="#86bad5" strokecolor="#86bad5">
                        <v:fill opacity="13107f"/>
                        <v:stroke startarrowwidth="narrow" startarrowlength="short" endarrowwidth="narrow" endarrowlength="short" opacity="13107f"/>
                        <v:path arrowok="t" o:extrusionok="f"/>
                      </v:shape>
                      <v:shape id="Freeform: Shape 21" o:spid="_x0000_s1046" style="position:absolute;left:5846;top:29185;width:4388;height:10231;visibility:visible;mso-wrap-style:square;v-text-anchor:middle"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" path="m,l8,20,37,96r32,74l118,275r-9,l61,174,30,100,,26,,xe" fillcolor="#86bad5" strokecolor="#86bad5">
                        <v:fill opacity="13107f"/>
                        <v:stroke startarrowwidth="narrow" startarrowlength="short" endarrowwidth="narrow" endarrowlength="short" opacity="13107f"/>
                        <v:path arrowok="t" o:extrusionok="f"/>
                      </v:shape>
                      <v:shape id="Freeform: Shape 22" o:spid="_x0000_s1047" style="position:absolute;top:8463;width:723;height:4489;visibility:visible;mso-wrap-style:square;v-text-anchor:middle"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" path="m,l16,72r4,49l18,112,,31,,xe" fillcolor="black">
                        <v:stroke startarrowwidth="narrow" startarrowlength="short" endarrowwidth="narrow" endarrowlength="short"/>
                        <v:path arrowok="t" o:extrusionok="f"/>
                      </v:shape>
                      <v:shape id="Freeform: Shape 23" o:spid="_x0000_s1048" style="position:absolute;left:748;top:12978;width:5894;height:23976;visibility:visible;mso-wrap-style:square;v-text-anchor:middle"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" path="m,l11,46r11,83l36,211r19,90l76,389r27,87l123,533r21,55l155,632r3,11l142,608,118,544,95,478,69,391,47,302,29,212,13,107,,xe" fillcolor="#86bad5" strokecolor="#86bad5">
                        <v:fill opacity="13107f"/>
                        <v:stroke startarrowwidth="narrow" startarrowlength="short" endarrowwidth="narrow" endarrowlength="short" opacity="13107f"/>
                        <v:path arrowok="t" o:extrusionok="f"/>
                      </v:shape>
                      <v:shape id="Freeform: Shape 24" o:spid="_x0000_s1049" style="position:absolute;left:6966;top:36799;width:1206;height:2621;visibility:visible;mso-wrap-style:square;v-text-anchor:middle"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" path="m,l33,71r-9,l11,36,,xe" fillcolor="#86bad5" strokecolor="#86bad5">
                        <v:fill opacity="13107f"/>
                        <v:stroke startarrowwidth="narrow" startarrowlength="short" endarrowwidth="narrow" endarrowlength="short" opacity="13107f"/>
                        <v:path arrowok="t" o:extrusionok="f"/>
                      </v:shape>
                      <v:shape id="Freeform: Shape 25" o:spid="_x0000_s1050" style="position:absolute;left:594;top:11149;width:532;height:3517;visibility:visible;mso-wrap-style:square;v-text-anchor:middle"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" path="m,l8,37r,4l15,95,4,49,,xe" fillcolor="black">
                        <v:stroke startarrowwidth="narrow" startarrowlength="short" endarrowwidth="narrow" endarrowlength="short"/>
                        <v:path arrowok="t" o:extrusionok="f"/>
                      </v:shape>
                      <v:shape id="Freeform: Shape 26" o:spid="_x0000_s1051" style="position:absolute;left:5580;width:15012;height:29160;visibility:visible;mso-wrap-style:square;v-text-anchor:middle"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" path="m402,r,1l363,39,325,79r-35,42l255,164r-44,58l171,284r-38,62l100,411,71,478,45,546,27,617,13,689,7,761r,21l,765r1,-4l7,688,21,616,40,545,66,475,95,409r35,-66l167,281r42,-61l253,163r34,-43l324,78,362,38,402,xe" fillcolor="#86bad5" strokecolor="#86bad5">
                        <v:fill opacity="13107f"/>
                        <v:stroke startarrowwidth="narrow" startarrowlength="short" endarrowwidth="narrow" endarrowlength="short" opacity="13107f"/>
                        <v:path arrowok="t" o:extrusionok="f"/>
                      </v:shape>
                      <v:shape id="Freeform: Shape 27" o:spid="_x0000_s1052" style="position:absolute;left:5580;top:29484;width:1357;height:7282;visibility:visible;mso-wrap-style:square;v-text-anchor:middle"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" path="m,l6,15r1,3l12,80r9,54l33,188r4,8l22,162,15,146,5,81,1,40,,xe" fillcolor="#86bad5" strokecolor="#86bad5">
                        <v:fill opacity="13107f"/>
                        <v:stroke startarrowwidth="narrow" startarrowlength="short" endarrowwidth="narrow" endarrowlength="short" opacity="13107f"/>
                        <v:path arrowok="t" o:extrusionok="f"/>
                      </v:shape>
                      <v:shape id="Freeform: Shape 28" o:spid="_x0000_s1053" style="position:absolute;left:6667;top:36982;width:1130;height:2438;visibility:visible;mso-wrap-style:square;v-text-anchor:middle"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" path="m,l31,66r-7,l,xe" fillcolor="#86bad5" strokecolor="#86bad5">
                        <v:fill opacity="13107f"/>
                        <v:stroke startarrowwidth="narrow" startarrowlength="short" endarrowwidth="narrow" endarrowlength="short" opacity="13107f"/>
                        <v:path arrowok="t" o:extrusionok="f"/>
                      </v:shape>
                      <v:shape id="Freeform: Shape 29" o:spid="_x0000_s1054" style="position:absolute;left:5580;top:28548;width:234;height:1580;visibility:visible;mso-wrap-style:square;v-text-anchor:middle"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" path="m,l7,17r,26l6,40,,25,,xe" fillcolor="black" strokecolor="#056e8c">
                        <v:stroke startarrowwidth="narrow" startarrowlength="short" endarrowwidth="narrow" endarrowlength="short" opacity="13107f"/>
                        <v:path arrowok="t" o:extrusionok="f"/>
                      </v:shape>
                      <v:shape id="Freeform: Shape 30" o:spid="_x0000_s1055" style="position:absolute;left:6145;top:34930;width:1688;height:4490;visibility:visible;mso-wrap-style:square;v-text-anchor:middle"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" path="m,l7,16,22,50,33,86r13,35l45,121,14,55,11,44,,xe" fillcolor="#86bad5" strokecolor="#86bad5">
                        <v:fill opacity="13107f"/>
                        <v:stroke startarrowwidth="narrow" startarrowlength="short" endarrowwidth="narrow" endarrowlength="short" opacity="13107f"/>
                        <v:path arrowok="t" o:extrusionok="f"/>
                      </v:shape>
                    </v:group>
                  </v:group>
                </v:group>
                <w10:wrap anchorx="page" anchory="page"/>
              </v:group>
            </w:pict>
          </mc:Fallback>
        </mc:AlternateContent>
      </w:r>
      <w:r>
        <w:rPr>
          <w:noProof/>
        </w:rPr>
        <mc:AlternateContent>
          <mc:Choice Requires="wps">
            <w:drawing>
              <wp:anchor distT="0" distB="0" distL="0" distR="0" simplePos="0" relativeHeight="251659264" behindDoc="0" locked="0" layoutInCell="1" hidden="0" allowOverlap="1" wp14:anchorId="15C151E0" wp14:editId="346EC1A9">
                <wp:simplePos x="0" y="0"/>
                <wp:positionH relativeFrom="column">
                  <wp:posOffset>152400</wp:posOffset>
                </wp:positionH>
                <wp:positionV relativeFrom="paragraph">
                  <wp:posOffset>152400</wp:posOffset>
                </wp:positionV>
                <wp:extent cx="6174740" cy="19050"/>
                <wp:effectExtent l="0" t="0" r="0" b="0"/>
                <wp:wrapNone/>
                <wp:docPr id="31" name="Straight Arrow Connector 31"/>
                <wp:cNvGraphicFramePr/>
                <a:graphic xmlns:a="http://schemas.openxmlformats.org/drawingml/2006/main">
                  <a:graphicData uri="http://schemas.microsoft.com/office/word/2010/wordprocessingShape">
                    <wps:wsp>
                      <wps:cNvCnPr/>
                      <wps:spPr>
                        <a:xfrm>
                          <a:off x="2259000" y="3780000"/>
                          <a:ext cx="6174000" cy="0"/>
                        </a:xfrm>
                        <a:prstGeom prst="straightConnector1">
                          <a:avLst/>
                        </a:prstGeom>
                        <a:noFill/>
                        <a:ln w="19050" cap="flat" cmpd="sng">
                          <a:solidFill>
                            <a:srgbClr val="056E8C"/>
                          </a:solidFill>
                          <a:prstDash val="solid"/>
                          <a:miter lim="800000"/>
                          <a:headEnd type="none" w="sm" len="sm"/>
                          <a:tailEnd type="none" w="sm" len="sm"/>
                        </a:ln>
                      </wps:spPr>
                      <wps:bodyPr/>
                    </wps:wsp>
                  </a:graphicData>
                </a:graphic>
              </wp:anchor>
            </w:drawing>
          </mc:Choice>
          <mc:Fallback>
            <w:pict>
              <v:shapetype w14:anchorId="16DA0C8C" id="_x0000_t32" coordsize="21600,21600" o:spt="32" o:oned="t" path="m,l21600,21600e" filled="f">
                <v:path arrowok="t" fillok="f" o:connecttype="none"/>
                <o:lock v:ext="edit" shapetype="t"/>
              </v:shapetype>
              <v:shape id="Straight Arrow Connector 31" o:spid="_x0000_s1026" type="#_x0000_t32" style="position:absolute;margin-left:12pt;margin-top:12pt;width:486.2pt;height:1.5pt;z-index:25165926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" strokecolor="#056e8c" strokeweight="1.5pt">
                <v:stroke startarrowwidth="narrow" startarrowlength="short" endarrowwidth="narrow" endarrowlength="short" joinstyle="miter"/>
              </v:shape>
            </w:pict>
          </mc:Fallback>
        </mc:AlternateContent>
      </w:r>
    </w:p>
    <w:p w14:paraId="0A3A97B4" w14:textId="77777777" w:rsidR="00071486" w:rsidRDefault="00071486"/>
    <w:p w14:paraId="04DA9A74" w14:textId="77777777" w:rsidR="00071486" w:rsidRDefault="00071486"/>
    <w:p w14:paraId="5164013F" w14:textId="77777777" w:rsidR="00071486" w:rsidRDefault="00000000">
      <w:r>
        <w:rPr>
          <w:noProof/>
        </w:rPr>
        <w:drawing>
          <wp:anchor distT="0" distB="0" distL="0" distR="0" simplePos="0" relativeHeight="251660288" behindDoc="0" locked="0" layoutInCell="1" hidden="0" allowOverlap="1" wp14:anchorId="18084E95" wp14:editId="11BB69F9">
            <wp:simplePos x="0" y="0"/>
            <wp:positionH relativeFrom="column">
              <wp:posOffset>1259840</wp:posOffset>
            </wp:positionH>
            <wp:positionV relativeFrom="paragraph">
              <wp:posOffset>5080</wp:posOffset>
            </wp:positionV>
            <wp:extent cx="4743450" cy="1485900"/>
            <wp:effectExtent l="0" t="0" r="0" b="0"/>
            <wp:wrapNone/>
            <wp:docPr id="33" name="Picture 33"/>
            <wp:cNvGraphicFramePr/>
            <a:graphic xmlns:a="http://schemas.openxmlformats.org/drawingml/2006/main">
              <a:graphicData uri="http://schemas.openxmlformats.org/drawingml/2006/picture">
                <pic:pic xmlns:pic="http://schemas.openxmlformats.org/drawingml/2006/picture">
                  <pic:nvPicPr>
                    <pic:cNvPr id="0" name="image8.gif"/>
                    <pic:cNvPicPr preferRelativeResize="0"/>
                  </pic:nvPicPr>
                  <pic:blipFill>
                    <a:blip r:embed="rId7"/>
                    <a:srcRect/>
                    <a:stretch>
                      <a:fillRect/>
                    </a:stretch>
                  </pic:blipFill>
                  <pic:spPr>
                    <a:xfrm>
                      <a:off x="0" y="0"/>
                      <a:ext cx="4743450" cy="1485900"/>
                    </a:xfrm>
                    <a:prstGeom prst="rect">
                      <a:avLst/>
                    </a:prstGeom>
                    <a:ln/>
                  </pic:spPr>
                </pic:pic>
              </a:graphicData>
            </a:graphic>
          </wp:anchor>
        </w:drawing>
      </w:r>
    </w:p>
    <w:p w14:paraId="0490B511" w14:textId="77777777" w:rsidR="00071486" w:rsidRDefault="00071486"/>
    <w:p w14:paraId="3E7F0539" w14:textId="77777777" w:rsidR="00071486" w:rsidRDefault="00071486"/>
    <w:p w14:paraId="29F83074" w14:textId="77777777" w:rsidR="00071486" w:rsidRDefault="00071486"/>
    <w:p w14:paraId="31679654" w14:textId="77777777" w:rsidR="00071486" w:rsidRDefault="00071486"/>
    <w:p w14:paraId="6DFED33A" w14:textId="77777777" w:rsidR="00071486" w:rsidRDefault="00071486"/>
    <w:p w14:paraId="63FA598B" w14:textId="77777777" w:rsidR="00071486" w:rsidRDefault="00071486"/>
    <w:p w14:paraId="164A24E8" w14:textId="77777777" w:rsidR="00071486" w:rsidRDefault="00071486"/>
    <w:p w14:paraId="357691FA" w14:textId="77777777" w:rsidR="00071486" w:rsidRDefault="00071486"/>
    <w:p w14:paraId="20CAF86B" w14:textId="77777777" w:rsidR="00071486" w:rsidRDefault="00071486"/>
    <w:p w14:paraId="25A8D71F" w14:textId="77777777" w:rsidR="00071486" w:rsidRDefault="00000000">
      <w:r>
        <w:rPr>
          <w:noProof/>
        </w:rPr>
        <mc:AlternateContent>
          <mc:Choice Requires="wps">
            <w:drawing>
              <wp:anchor distT="0" distB="0" distL="0" distR="0" simplePos="0" relativeHeight="251661312" behindDoc="0" locked="0" layoutInCell="1" hidden="0" allowOverlap="1" wp14:anchorId="5DDD1FA4" wp14:editId="0713BA89">
                <wp:simplePos x="0" y="0"/>
                <wp:positionH relativeFrom="margin">
                  <wp:posOffset>1320483</wp:posOffset>
                </wp:positionH>
                <wp:positionV relativeFrom="page">
                  <wp:posOffset>4476433</wp:posOffset>
                </wp:positionV>
                <wp:extent cx="4565015" cy="2193290"/>
                <wp:effectExtent l="0" t="0" r="0" b="0"/>
                <wp:wrapNone/>
                <wp:docPr id="32" name="Rectangle 32"/>
                <wp:cNvGraphicFramePr/>
                <a:graphic xmlns:a="http://schemas.openxmlformats.org/drawingml/2006/main">
                  <a:graphicData uri="http://schemas.microsoft.com/office/word/2010/wordprocessingShape">
                    <wps:wsp>
                      <wps:cNvSpPr/>
                      <wps:spPr>
                        <a:xfrm>
                          <a:off x="3068640" y="2688480"/>
                          <a:ext cx="4554720" cy="2183040"/>
                        </a:xfrm>
                        <a:prstGeom prst="rect">
                          <a:avLst/>
                        </a:prstGeom>
                        <a:noFill/>
                        <a:ln>
                          <a:noFill/>
                        </a:ln>
                      </wps:spPr>
                      <wps:txbx>
                        <w:txbxContent>
                          <w:p w14:paraId="409FEAE8" w14:textId="77777777" w:rsidR="00071486" w:rsidRDefault="00000000">
                            <w:pPr>
                              <w:spacing w:after="0" w:line="240" w:lineRule="auto"/>
                              <w:jc w:val="center"/>
                              <w:textDirection w:val="btLr"/>
                            </w:pPr>
                            <w:r>
                              <w:rPr>
                                <w:color w:val="004D9A"/>
                                <w:sz w:val="72"/>
                              </w:rPr>
                              <w:t>Principales conclusions</w:t>
                            </w:r>
                          </w:p>
                          <w:p w14:paraId="520391CF" w14:textId="77777777" w:rsidR="00071486" w:rsidRDefault="00000000">
                            <w:pPr>
                              <w:spacing w:before="120" w:after="0" w:line="258" w:lineRule="auto"/>
                              <w:jc w:val="center"/>
                              <w:textDirection w:val="btLr"/>
                            </w:pPr>
                            <w:r>
                              <w:rPr>
                                <w:b/>
                                <w:color w:val="004D9A"/>
                                <w:sz w:val="32"/>
                              </w:rPr>
                              <w:t xml:space="preserve">L’expérience </w:t>
                            </w:r>
                            <w:proofErr w:type="spellStart"/>
                            <w:r>
                              <w:rPr>
                                <w:b/>
                                <w:color w:val="004D9A"/>
                                <w:sz w:val="32"/>
                              </w:rPr>
                              <w:t>utilisateur·trice</w:t>
                            </w:r>
                            <w:proofErr w:type="spellEnd"/>
                            <w:r>
                              <w:rPr>
                                <w:b/>
                                <w:color w:val="004D9A"/>
                                <w:sz w:val="32"/>
                              </w:rPr>
                              <w:t xml:space="preserve"> du sous-titrage codé intégral dans les sports à rythme rapide — Rapport sommaire</w:t>
                            </w:r>
                          </w:p>
                          <w:p w14:paraId="6DFD8FA2" w14:textId="77777777" w:rsidR="00071486" w:rsidRDefault="00071486">
                            <w:pPr>
                              <w:spacing w:before="120" w:after="0" w:line="258" w:lineRule="auto"/>
                              <w:jc w:val="center"/>
                              <w:textDirection w:val="btLr"/>
                            </w:pPr>
                          </w:p>
                        </w:txbxContent>
                      </wps:txbx>
                      <wps:bodyPr spcFirstLastPara="1" wrap="square" lIns="0" tIns="0" rIns="0" bIns="0" anchor="t" anchorCtr="0">
                        <a:noAutofit/>
                      </wps:bodyPr>
                    </wps:wsp>
                  </a:graphicData>
                </a:graphic>
              </wp:anchor>
            </w:drawing>
          </mc:Choice>
          <mc:Fallback>
            <w:pict>
              <v:rect w14:anchorId="5DDD1FA4" id="Rectangle 32" o:spid="_x0000_s1056" style="position:absolute;margin-left:104pt;margin-top:352.5pt;width:359.45pt;height:172.7pt;z-index:251661312;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" filled="f" stroked="f">
                <v:textbox inset="0,0,0,0">
                  <w:txbxContent>
                    <w:p w14:paraId="409FEAE8" w14:textId="77777777" w:rsidR="00071486" w:rsidRDefault="00000000">
                      <w:pPr>
                        <w:spacing w:after="0" w:line="240" w:lineRule="auto"/>
                        <w:jc w:val="center"/>
                        <w:textDirection w:val="btLr"/>
                      </w:pPr>
                      <w:r>
                        <w:rPr>
                          <w:color w:val="004D9A"/>
                          <w:sz w:val="72"/>
                        </w:rPr>
                        <w:t>Principales conclusions</w:t>
                      </w:r>
                    </w:p>
                    <w:p w14:paraId="520391CF" w14:textId="77777777" w:rsidR="00071486" w:rsidRDefault="00000000">
                      <w:pPr>
                        <w:spacing w:before="120" w:after="0" w:line="258" w:lineRule="auto"/>
                        <w:jc w:val="center"/>
                        <w:textDirection w:val="btLr"/>
                      </w:pPr>
                      <w:r>
                        <w:rPr>
                          <w:b/>
                          <w:color w:val="004D9A"/>
                          <w:sz w:val="32"/>
                        </w:rPr>
                        <w:t xml:space="preserve">L’expérience </w:t>
                      </w:r>
                      <w:proofErr w:type="spellStart"/>
                      <w:r>
                        <w:rPr>
                          <w:b/>
                          <w:color w:val="004D9A"/>
                          <w:sz w:val="32"/>
                        </w:rPr>
                        <w:t>utilisateur·trice</w:t>
                      </w:r>
                      <w:proofErr w:type="spellEnd"/>
                      <w:r>
                        <w:rPr>
                          <w:b/>
                          <w:color w:val="004D9A"/>
                          <w:sz w:val="32"/>
                        </w:rPr>
                        <w:t xml:space="preserve"> du sous-titrage codé intégral dans les sports à rythme rapide — Rapport sommaire</w:t>
                      </w:r>
                    </w:p>
                    <w:p w14:paraId="6DFD8FA2" w14:textId="77777777" w:rsidR="00071486" w:rsidRDefault="00071486">
                      <w:pPr>
                        <w:spacing w:before="120" w:after="0" w:line="258" w:lineRule="auto"/>
                        <w:jc w:val="center"/>
                        <w:textDirection w:val="btLr"/>
                      </w:pPr>
                    </w:p>
                  </w:txbxContent>
                </v:textbox>
                <w10:wrap anchorx="margin" anchory="page"/>
              </v:rect>
            </w:pict>
          </mc:Fallback>
        </mc:AlternateContent>
      </w:r>
    </w:p>
    <w:p w14:paraId="59518738" w14:textId="77777777" w:rsidR="00071486" w:rsidRDefault="00071486"/>
    <w:p w14:paraId="27BD49B6" w14:textId="77777777" w:rsidR="00071486" w:rsidRDefault="00071486"/>
    <w:p w14:paraId="23C180D8" w14:textId="77777777" w:rsidR="00071486" w:rsidRDefault="00071486"/>
    <w:p w14:paraId="51789B03" w14:textId="77777777" w:rsidR="00071486" w:rsidRDefault="00071486"/>
    <w:p w14:paraId="1ADF92F1" w14:textId="77777777" w:rsidR="00071486" w:rsidRDefault="00071486"/>
    <w:p w14:paraId="0E14DAA8" w14:textId="77777777" w:rsidR="00071486" w:rsidRDefault="00071486"/>
    <w:p w14:paraId="51150DDC" w14:textId="77777777" w:rsidR="00071486" w:rsidRDefault="00071486"/>
    <w:p w14:paraId="2FC19EEB" w14:textId="77777777" w:rsidR="00071486" w:rsidRDefault="00071486">
      <w:pPr>
        <w:sectPr w:rsidR="00071486">
          <w:headerReference w:type="even" r:id="rId8"/>
          <w:headerReference w:type="default" r:id="rId9"/>
          <w:footerReference w:type="even" r:id="rId10"/>
          <w:footerReference w:type="default" r:id="rId11"/>
          <w:headerReference w:type="first" r:id="rId12"/>
          <w:footerReference w:type="first" r:id="rId13"/>
          <w:pgSz w:w="12240" w:h="15840"/>
          <w:pgMar w:top="1134" w:right="1134" w:bottom="1134" w:left="1134" w:header="0" w:footer="0" w:gutter="0"/>
          <w:pgNumType w:start="1"/>
          <w:cols w:space="720"/>
        </w:sectPr>
      </w:pPr>
    </w:p>
    <w:p w14:paraId="31FA69B9" w14:textId="77777777" w:rsidR="00071486" w:rsidRDefault="00071486"/>
    <w:p w14:paraId="6EB6BB91" w14:textId="77777777" w:rsidR="00071486" w:rsidRDefault="00000000">
      <w:pPr>
        <w:pStyle w:val="Heading1"/>
        <w:ind w:left="0" w:firstLine="0"/>
      </w:pPr>
      <w:bookmarkStart w:id="0" w:name="_Toc151722623"/>
      <w:r>
        <w:t>Remerciements</w:t>
      </w:r>
      <w:bookmarkEnd w:id="0"/>
    </w:p>
    <w:p w14:paraId="73468FF3" w14:textId="50275252" w:rsidR="00071486" w:rsidRDefault="00000000">
      <w:r>
        <w:t xml:space="preserve">Nous souhaitons exprimer notre reconnaissance envers l’ensemble des </w:t>
      </w:r>
      <w:proofErr w:type="spellStart"/>
      <w:r>
        <w:t>participant·e·s</w:t>
      </w:r>
      <w:proofErr w:type="spellEnd"/>
      <w:r>
        <w:t xml:space="preserve"> qui ont généreusement donné de leur temps pour nous aider à mieux comprendre le sous-titrage intégral dans les sports à rythme rapide. Nous tenons à remercier tout particulièrement le Fonds pour l’accessibilité de la radiodiffusion (FAR) pour son précieux soutien financier dans le cadre de cette étude si importante. Nous tenons également à remercier les membres du Comité directeur —James Hardman, Jim Roots (qui a récemment pris sa retraite), Gordana Mosher (récemment remplacée par Ann Marie Langlois), Gavin Lumsden, </w:t>
      </w:r>
      <w:proofErr w:type="spellStart"/>
      <w:r>
        <w:t>Bev</w:t>
      </w:r>
      <w:proofErr w:type="spellEnd"/>
      <w:r>
        <w:t xml:space="preserve"> Milligan, Brian </w:t>
      </w:r>
      <w:proofErr w:type="spellStart"/>
      <w:r>
        <w:t>McGinley</w:t>
      </w:r>
      <w:proofErr w:type="spellEnd"/>
      <w:r>
        <w:t xml:space="preserve">, Melina Nathanail et Neil Watson. Leur engagement sans faille, leur allocation de ressources et leurs conseils précieux ont grandement contribué à la réalisation de ce projet sur une période de deux ans. Nous exprimons également nos remerciements à Bell Media, </w:t>
      </w:r>
      <w:r>
        <w:rPr>
          <w:color w:val="000000"/>
        </w:rPr>
        <w:t xml:space="preserve">Rogers Media, PAVO Digital, 3Play Media, </w:t>
      </w:r>
      <w:r>
        <w:t xml:space="preserve">CBC, les Services canadiens de l’ouïe, l’Association des Sourds du Canada et l’Association canadienne des malentendants pour leur soutien et leurs précieuses ressources dans le cadre de ce projet. Nous sommes </w:t>
      </w:r>
      <w:proofErr w:type="spellStart"/>
      <w:proofErr w:type="gramStart"/>
      <w:r>
        <w:t>reconnaissant</w:t>
      </w:r>
      <w:proofErr w:type="gramEnd"/>
      <w:r>
        <w:t>·e·s</w:t>
      </w:r>
      <w:proofErr w:type="spellEnd"/>
      <w:r>
        <w:t xml:space="preserve"> envers les interprètes qui ont assuré les services d’interprétation lors de nos réunions, ainsi que pour leur contribution au questionnaire et à la réalisation de la vidéo de recrutement en langue des signes. Un grand merci également à notre équipe d’</w:t>
      </w:r>
      <w:proofErr w:type="spellStart"/>
      <w:r>
        <w:t>expert·e·s</w:t>
      </w:r>
      <w:proofErr w:type="spellEnd"/>
      <w:r>
        <w:t xml:space="preserve"> et de </w:t>
      </w:r>
      <w:proofErr w:type="spellStart"/>
      <w:r>
        <w:t>conseiller·ère·s</w:t>
      </w:r>
      <w:proofErr w:type="spellEnd"/>
      <w:r>
        <w:t xml:space="preserve"> </w:t>
      </w:r>
      <w:proofErr w:type="spellStart"/>
      <w:r>
        <w:t>internationaux·ales</w:t>
      </w:r>
      <w:proofErr w:type="spellEnd"/>
      <w:r>
        <w:t xml:space="preserve"> : Deb Fels, Pablo Romero-Fresco, </w:t>
      </w:r>
      <w:proofErr w:type="spellStart"/>
      <w:r>
        <w:t>Nazaret</w:t>
      </w:r>
      <w:proofErr w:type="spellEnd"/>
      <w:r>
        <w:t xml:space="preserve"> Fresno, </w:t>
      </w:r>
      <w:r>
        <w:rPr>
          <w:color w:val="000000"/>
        </w:rPr>
        <w:t>Maria Karam, Tatyana Kumarasamy, Margot Whitfield, Somang Nam, ainsi qu’à</w:t>
      </w:r>
      <w:r>
        <w:t xml:space="preserve"> notre gestionnaire de projet, Christie Christelis. Pour terminer, nous remercions tous les </w:t>
      </w:r>
      <w:proofErr w:type="spellStart"/>
      <w:r>
        <w:t>acteurs·trice·s</w:t>
      </w:r>
      <w:proofErr w:type="spellEnd"/>
      <w:r>
        <w:t xml:space="preserve"> qui ont joué un rôle crucial dans la réussite de ce projet.  </w:t>
      </w:r>
    </w:p>
    <w:p w14:paraId="750D5B3B" w14:textId="69E5FCE5" w:rsidR="00071486" w:rsidRDefault="00071486"/>
    <w:p w14:paraId="3723D321" w14:textId="74676F14" w:rsidR="00D90D58" w:rsidRDefault="00D90D58"/>
    <w:p w14:paraId="3F1D4727" w14:textId="613F8ACB" w:rsidR="00D90D58" w:rsidRDefault="00D90D58"/>
    <w:p w14:paraId="5DBC6F9A" w14:textId="77777777" w:rsidR="00D90D58" w:rsidRDefault="00D90D58"/>
    <w:p w14:paraId="1C71CD50" w14:textId="77777777" w:rsidR="00071486" w:rsidRDefault="00000000">
      <w:r>
        <w:t>Richard Belzile, futur chef de projet et président du comité directeur</w:t>
      </w:r>
      <w:r>
        <w:br/>
        <w:t>Association des Sourds du Canada</w:t>
      </w:r>
    </w:p>
    <w:p w14:paraId="54DE38AC" w14:textId="77777777" w:rsidR="00071486" w:rsidRDefault="00071486"/>
    <w:p w14:paraId="6C310AAE" w14:textId="77777777" w:rsidR="00071486" w:rsidRDefault="00071486">
      <w:pPr>
        <w:sectPr w:rsidR="00071486">
          <w:headerReference w:type="default" r:id="rId14"/>
          <w:footerReference w:type="default" r:id="rId15"/>
          <w:pgSz w:w="12240" w:h="15840"/>
          <w:pgMar w:top="1134" w:right="1041" w:bottom="1134" w:left="1134" w:header="709" w:footer="709" w:gutter="0"/>
          <w:pgNumType w:start="1"/>
          <w:cols w:space="720"/>
        </w:sectPr>
      </w:pPr>
    </w:p>
    <w:p w14:paraId="30739A24" w14:textId="77777777" w:rsidR="00071486" w:rsidRDefault="00071486"/>
    <w:p w14:paraId="5DED2454" w14:textId="77777777" w:rsidR="00071486" w:rsidRDefault="00000000">
      <w:pPr>
        <w:keepNext/>
        <w:keepLines/>
        <w:pBdr>
          <w:top w:val="nil"/>
          <w:left w:val="nil"/>
          <w:bottom w:val="nil"/>
          <w:right w:val="nil"/>
          <w:between w:val="nil"/>
        </w:pBdr>
        <w:spacing w:before="240" w:after="0"/>
        <w:rPr>
          <w:b/>
          <w:color w:val="004D9A"/>
          <w:sz w:val="32"/>
          <w:szCs w:val="32"/>
        </w:rPr>
      </w:pPr>
      <w:r>
        <w:rPr>
          <w:b/>
          <w:color w:val="004D9A"/>
          <w:sz w:val="32"/>
        </w:rPr>
        <w:t>Table des matières</w:t>
      </w:r>
    </w:p>
    <w:sdt>
      <w:sdtPr>
        <w:id w:val="-1780711054"/>
        <w:docPartObj>
          <w:docPartGallery w:val="Table of Contents"/>
          <w:docPartUnique/>
        </w:docPartObj>
      </w:sdtPr>
      <w:sdtContent>
        <w:p w14:paraId="53E94773" w14:textId="6A9C84C5" w:rsidR="000E4626" w:rsidRDefault="00000000">
          <w:pPr>
            <w:pStyle w:val="TOC1"/>
            <w:tabs>
              <w:tab w:val="right" w:pos="10055"/>
            </w:tabs>
            <w:rPr>
              <w:noProof/>
            </w:rPr>
          </w:pPr>
          <w:r>
            <w:fldChar w:fldCharType="begin"/>
          </w:r>
          <w:r>
            <w:instrText xml:space="preserve"> TOC \h \u \z \t "Heading 1,1,Heading 2,2,Heading 3,3,Heading 4,4,Heading 5,5,Heading 6,6,"</w:instrText>
          </w:r>
          <w:r>
            <w:fldChar w:fldCharType="separate"/>
          </w:r>
          <w:hyperlink w:anchor="_Toc151722623" w:history="1">
            <w:r w:rsidR="000E4626" w:rsidRPr="00CF5597">
              <w:rPr>
                <w:rStyle w:val="Hyperlink"/>
                <w:noProof/>
              </w:rPr>
              <w:t>Remerciements</w:t>
            </w:r>
            <w:r w:rsidR="000E4626">
              <w:rPr>
                <w:noProof/>
                <w:webHidden/>
              </w:rPr>
              <w:tab/>
            </w:r>
            <w:r w:rsidR="000E4626">
              <w:rPr>
                <w:noProof/>
                <w:webHidden/>
              </w:rPr>
              <w:fldChar w:fldCharType="begin"/>
            </w:r>
            <w:r w:rsidR="000E4626">
              <w:rPr>
                <w:noProof/>
                <w:webHidden/>
              </w:rPr>
              <w:instrText xml:space="preserve"> PAGEREF _Toc151722623 \h </w:instrText>
            </w:r>
            <w:r w:rsidR="000E4626">
              <w:rPr>
                <w:noProof/>
                <w:webHidden/>
              </w:rPr>
            </w:r>
            <w:r w:rsidR="000E4626">
              <w:rPr>
                <w:noProof/>
                <w:webHidden/>
              </w:rPr>
              <w:fldChar w:fldCharType="separate"/>
            </w:r>
            <w:r w:rsidR="005C1CE1">
              <w:rPr>
                <w:noProof/>
                <w:webHidden/>
              </w:rPr>
              <w:t>1</w:t>
            </w:r>
            <w:r w:rsidR="000E4626">
              <w:rPr>
                <w:noProof/>
                <w:webHidden/>
              </w:rPr>
              <w:fldChar w:fldCharType="end"/>
            </w:r>
          </w:hyperlink>
        </w:p>
        <w:p w14:paraId="3766DC92" w14:textId="6AF35407" w:rsidR="000E4626" w:rsidRDefault="000E4626">
          <w:pPr>
            <w:pStyle w:val="TOC1"/>
            <w:tabs>
              <w:tab w:val="right" w:pos="10055"/>
            </w:tabs>
            <w:rPr>
              <w:noProof/>
            </w:rPr>
          </w:pPr>
          <w:hyperlink w:anchor="_Toc151722624" w:history="1">
            <w:r w:rsidRPr="00CF5597">
              <w:rPr>
                <w:rStyle w:val="Hyperlink"/>
                <w:noProof/>
              </w:rPr>
              <w:t>Résumé</w:t>
            </w:r>
            <w:r>
              <w:rPr>
                <w:noProof/>
                <w:webHidden/>
              </w:rPr>
              <w:tab/>
            </w:r>
            <w:r>
              <w:rPr>
                <w:noProof/>
                <w:webHidden/>
              </w:rPr>
              <w:fldChar w:fldCharType="begin"/>
            </w:r>
            <w:r>
              <w:rPr>
                <w:noProof/>
                <w:webHidden/>
              </w:rPr>
              <w:instrText xml:space="preserve"> PAGEREF _Toc151722624 \h </w:instrText>
            </w:r>
            <w:r>
              <w:rPr>
                <w:noProof/>
                <w:webHidden/>
              </w:rPr>
            </w:r>
            <w:r>
              <w:rPr>
                <w:noProof/>
                <w:webHidden/>
              </w:rPr>
              <w:fldChar w:fldCharType="separate"/>
            </w:r>
            <w:r w:rsidR="005C1CE1">
              <w:rPr>
                <w:noProof/>
                <w:webHidden/>
              </w:rPr>
              <w:t>4</w:t>
            </w:r>
            <w:r>
              <w:rPr>
                <w:noProof/>
                <w:webHidden/>
              </w:rPr>
              <w:fldChar w:fldCharType="end"/>
            </w:r>
          </w:hyperlink>
        </w:p>
        <w:p w14:paraId="0028A60F" w14:textId="4D061930" w:rsidR="000E4626" w:rsidRDefault="000E4626">
          <w:pPr>
            <w:pStyle w:val="TOC1"/>
            <w:tabs>
              <w:tab w:val="right" w:pos="10055"/>
            </w:tabs>
            <w:rPr>
              <w:noProof/>
            </w:rPr>
          </w:pPr>
          <w:hyperlink w:anchor="_Toc151722625" w:history="1">
            <w:r w:rsidRPr="00CF5597">
              <w:rPr>
                <w:rStyle w:val="Hyperlink"/>
                <w:noProof/>
              </w:rPr>
              <w:t>Présentation et contexte</w:t>
            </w:r>
            <w:r>
              <w:rPr>
                <w:noProof/>
                <w:webHidden/>
              </w:rPr>
              <w:tab/>
            </w:r>
            <w:r>
              <w:rPr>
                <w:noProof/>
                <w:webHidden/>
              </w:rPr>
              <w:fldChar w:fldCharType="begin"/>
            </w:r>
            <w:r>
              <w:rPr>
                <w:noProof/>
                <w:webHidden/>
              </w:rPr>
              <w:instrText xml:space="preserve"> PAGEREF _Toc151722625 \h </w:instrText>
            </w:r>
            <w:r>
              <w:rPr>
                <w:noProof/>
                <w:webHidden/>
              </w:rPr>
            </w:r>
            <w:r>
              <w:rPr>
                <w:noProof/>
                <w:webHidden/>
              </w:rPr>
              <w:fldChar w:fldCharType="separate"/>
            </w:r>
            <w:r w:rsidR="005C1CE1">
              <w:rPr>
                <w:noProof/>
                <w:webHidden/>
              </w:rPr>
              <w:t>6</w:t>
            </w:r>
            <w:r>
              <w:rPr>
                <w:noProof/>
                <w:webHidden/>
              </w:rPr>
              <w:fldChar w:fldCharType="end"/>
            </w:r>
          </w:hyperlink>
        </w:p>
        <w:p w14:paraId="327738D5" w14:textId="0D1D6B83" w:rsidR="000E4626" w:rsidRDefault="000E4626">
          <w:pPr>
            <w:pStyle w:val="TOC1"/>
            <w:tabs>
              <w:tab w:val="right" w:pos="10055"/>
            </w:tabs>
            <w:rPr>
              <w:noProof/>
            </w:rPr>
          </w:pPr>
          <w:hyperlink w:anchor="_Toc151722626" w:history="1">
            <w:r w:rsidRPr="00CF5597">
              <w:rPr>
                <w:rStyle w:val="Hyperlink"/>
                <w:noProof/>
              </w:rPr>
              <w:t>Objectif de ce projet</w:t>
            </w:r>
            <w:r>
              <w:rPr>
                <w:noProof/>
                <w:webHidden/>
              </w:rPr>
              <w:tab/>
            </w:r>
            <w:r>
              <w:rPr>
                <w:noProof/>
                <w:webHidden/>
              </w:rPr>
              <w:fldChar w:fldCharType="begin"/>
            </w:r>
            <w:r>
              <w:rPr>
                <w:noProof/>
                <w:webHidden/>
              </w:rPr>
              <w:instrText xml:space="preserve"> PAGEREF _Toc151722626 \h </w:instrText>
            </w:r>
            <w:r>
              <w:rPr>
                <w:noProof/>
                <w:webHidden/>
              </w:rPr>
            </w:r>
            <w:r>
              <w:rPr>
                <w:noProof/>
                <w:webHidden/>
              </w:rPr>
              <w:fldChar w:fldCharType="separate"/>
            </w:r>
            <w:r w:rsidR="005C1CE1">
              <w:rPr>
                <w:noProof/>
                <w:webHidden/>
              </w:rPr>
              <w:t>6</w:t>
            </w:r>
            <w:r>
              <w:rPr>
                <w:noProof/>
                <w:webHidden/>
              </w:rPr>
              <w:fldChar w:fldCharType="end"/>
            </w:r>
          </w:hyperlink>
        </w:p>
        <w:p w14:paraId="22CC23BE" w14:textId="19E65479" w:rsidR="000E4626" w:rsidRDefault="000E4626">
          <w:pPr>
            <w:pStyle w:val="TOC1"/>
            <w:tabs>
              <w:tab w:val="right" w:pos="10055"/>
            </w:tabs>
            <w:rPr>
              <w:noProof/>
            </w:rPr>
          </w:pPr>
          <w:hyperlink w:anchor="_Toc151722627" w:history="1">
            <w:r w:rsidRPr="00CF5597">
              <w:rPr>
                <w:rStyle w:val="Hyperlink"/>
                <w:noProof/>
              </w:rPr>
              <w:t>Commanditaire du projet et comité de direction</w:t>
            </w:r>
            <w:r>
              <w:rPr>
                <w:noProof/>
                <w:webHidden/>
              </w:rPr>
              <w:tab/>
            </w:r>
            <w:r>
              <w:rPr>
                <w:noProof/>
                <w:webHidden/>
              </w:rPr>
              <w:fldChar w:fldCharType="begin"/>
            </w:r>
            <w:r>
              <w:rPr>
                <w:noProof/>
                <w:webHidden/>
              </w:rPr>
              <w:instrText xml:space="preserve"> PAGEREF _Toc151722627 \h </w:instrText>
            </w:r>
            <w:r>
              <w:rPr>
                <w:noProof/>
                <w:webHidden/>
              </w:rPr>
            </w:r>
            <w:r>
              <w:rPr>
                <w:noProof/>
                <w:webHidden/>
              </w:rPr>
              <w:fldChar w:fldCharType="separate"/>
            </w:r>
            <w:r w:rsidR="005C1CE1">
              <w:rPr>
                <w:noProof/>
                <w:webHidden/>
              </w:rPr>
              <w:t>7</w:t>
            </w:r>
            <w:r>
              <w:rPr>
                <w:noProof/>
                <w:webHidden/>
              </w:rPr>
              <w:fldChar w:fldCharType="end"/>
            </w:r>
          </w:hyperlink>
        </w:p>
        <w:p w14:paraId="0C83E227" w14:textId="196B6ABD" w:rsidR="000E4626" w:rsidRDefault="000E4626">
          <w:pPr>
            <w:pStyle w:val="TOC1"/>
            <w:tabs>
              <w:tab w:val="right" w:pos="10055"/>
            </w:tabs>
            <w:rPr>
              <w:noProof/>
            </w:rPr>
          </w:pPr>
          <w:hyperlink w:anchor="_Toc151722628" w:history="1">
            <w:r w:rsidRPr="00CF5597">
              <w:rPr>
                <w:rStyle w:val="Hyperlink"/>
                <w:noProof/>
              </w:rPr>
              <w:t>Description du projet</w:t>
            </w:r>
            <w:r>
              <w:rPr>
                <w:noProof/>
                <w:webHidden/>
              </w:rPr>
              <w:tab/>
            </w:r>
            <w:r>
              <w:rPr>
                <w:noProof/>
                <w:webHidden/>
              </w:rPr>
              <w:fldChar w:fldCharType="begin"/>
            </w:r>
            <w:r>
              <w:rPr>
                <w:noProof/>
                <w:webHidden/>
              </w:rPr>
              <w:instrText xml:space="preserve"> PAGEREF _Toc151722628 \h </w:instrText>
            </w:r>
            <w:r>
              <w:rPr>
                <w:noProof/>
                <w:webHidden/>
              </w:rPr>
            </w:r>
            <w:r>
              <w:rPr>
                <w:noProof/>
                <w:webHidden/>
              </w:rPr>
              <w:fldChar w:fldCharType="separate"/>
            </w:r>
            <w:r w:rsidR="005C1CE1">
              <w:rPr>
                <w:noProof/>
                <w:webHidden/>
              </w:rPr>
              <w:t>7</w:t>
            </w:r>
            <w:r>
              <w:rPr>
                <w:noProof/>
                <w:webHidden/>
              </w:rPr>
              <w:fldChar w:fldCharType="end"/>
            </w:r>
          </w:hyperlink>
        </w:p>
        <w:p w14:paraId="3A87B980" w14:textId="679B0237" w:rsidR="000E4626" w:rsidRDefault="000E4626">
          <w:pPr>
            <w:pStyle w:val="TOC2"/>
            <w:tabs>
              <w:tab w:val="right" w:pos="10055"/>
            </w:tabs>
            <w:rPr>
              <w:noProof/>
            </w:rPr>
          </w:pPr>
          <w:hyperlink w:anchor="_Toc151722629" w:history="1">
            <w:r>
              <w:rPr>
                <w:noProof/>
              </w:rPr>
              <w:pict w14:anchorId="2DB355A4">
                <v:rect id="_x0000_i1028" style="width:0;height:1.5pt" o:hralign="center" o:hrstd="t" o:hr="t" fillcolor="#a0a0a0" stroked="f"/>
              </w:pict>
            </w:r>
            <w:r>
              <w:rPr>
                <w:noProof/>
                <w:webHidden/>
              </w:rPr>
              <w:tab/>
            </w:r>
            <w:r>
              <w:rPr>
                <w:noProof/>
                <w:webHidden/>
              </w:rPr>
              <w:fldChar w:fldCharType="begin"/>
            </w:r>
            <w:r>
              <w:rPr>
                <w:noProof/>
                <w:webHidden/>
              </w:rPr>
              <w:instrText xml:space="preserve"> PAGEREF _Toc151722629 \h </w:instrText>
            </w:r>
            <w:r>
              <w:rPr>
                <w:noProof/>
                <w:webHidden/>
              </w:rPr>
            </w:r>
            <w:r>
              <w:rPr>
                <w:noProof/>
                <w:webHidden/>
              </w:rPr>
              <w:fldChar w:fldCharType="separate"/>
            </w:r>
            <w:r w:rsidR="005C1CE1">
              <w:rPr>
                <w:noProof/>
                <w:webHidden/>
              </w:rPr>
              <w:t>8</w:t>
            </w:r>
            <w:r>
              <w:rPr>
                <w:noProof/>
                <w:webHidden/>
              </w:rPr>
              <w:fldChar w:fldCharType="end"/>
            </w:r>
          </w:hyperlink>
        </w:p>
        <w:p w14:paraId="03E43A59" w14:textId="5B4E6CDF" w:rsidR="000E4626" w:rsidRDefault="000E4626">
          <w:pPr>
            <w:pStyle w:val="TOC1"/>
            <w:tabs>
              <w:tab w:val="right" w:pos="10055"/>
            </w:tabs>
            <w:rPr>
              <w:noProof/>
            </w:rPr>
          </w:pPr>
          <w:hyperlink w:anchor="_Toc151722630" w:history="1">
            <w:r w:rsidRPr="00CF5597">
              <w:rPr>
                <w:rStyle w:val="Hyperlink"/>
                <w:noProof/>
              </w:rPr>
              <w:t>À propos de la recherche</w:t>
            </w:r>
            <w:r>
              <w:rPr>
                <w:noProof/>
                <w:webHidden/>
              </w:rPr>
              <w:tab/>
            </w:r>
            <w:r>
              <w:rPr>
                <w:noProof/>
                <w:webHidden/>
              </w:rPr>
              <w:fldChar w:fldCharType="begin"/>
            </w:r>
            <w:r>
              <w:rPr>
                <w:noProof/>
                <w:webHidden/>
              </w:rPr>
              <w:instrText xml:space="preserve"> PAGEREF _Toc151722630 \h </w:instrText>
            </w:r>
            <w:r>
              <w:rPr>
                <w:noProof/>
                <w:webHidden/>
              </w:rPr>
            </w:r>
            <w:r>
              <w:rPr>
                <w:noProof/>
                <w:webHidden/>
              </w:rPr>
              <w:fldChar w:fldCharType="separate"/>
            </w:r>
            <w:r w:rsidR="005C1CE1">
              <w:rPr>
                <w:noProof/>
                <w:webHidden/>
              </w:rPr>
              <w:t>8</w:t>
            </w:r>
            <w:r>
              <w:rPr>
                <w:noProof/>
                <w:webHidden/>
              </w:rPr>
              <w:fldChar w:fldCharType="end"/>
            </w:r>
          </w:hyperlink>
        </w:p>
        <w:p w14:paraId="659F0973" w14:textId="06E3D485" w:rsidR="000E4626" w:rsidRDefault="000E4626">
          <w:pPr>
            <w:pStyle w:val="TOC2"/>
            <w:tabs>
              <w:tab w:val="right" w:pos="10055"/>
            </w:tabs>
            <w:rPr>
              <w:noProof/>
            </w:rPr>
          </w:pPr>
          <w:hyperlink w:anchor="_Toc151722631" w:history="1">
            <w:r w:rsidRPr="00CF5597">
              <w:rPr>
                <w:rStyle w:val="Hyperlink"/>
                <w:noProof/>
              </w:rPr>
              <w:t>Conception de la recherche</w:t>
            </w:r>
            <w:r>
              <w:rPr>
                <w:noProof/>
                <w:webHidden/>
              </w:rPr>
              <w:tab/>
            </w:r>
            <w:r>
              <w:rPr>
                <w:noProof/>
                <w:webHidden/>
              </w:rPr>
              <w:fldChar w:fldCharType="begin"/>
            </w:r>
            <w:r>
              <w:rPr>
                <w:noProof/>
                <w:webHidden/>
              </w:rPr>
              <w:instrText xml:space="preserve"> PAGEREF _Toc151722631 \h </w:instrText>
            </w:r>
            <w:r>
              <w:rPr>
                <w:noProof/>
                <w:webHidden/>
              </w:rPr>
            </w:r>
            <w:r>
              <w:rPr>
                <w:noProof/>
                <w:webHidden/>
              </w:rPr>
              <w:fldChar w:fldCharType="separate"/>
            </w:r>
            <w:r w:rsidR="005C1CE1">
              <w:rPr>
                <w:noProof/>
                <w:webHidden/>
              </w:rPr>
              <w:t>8</w:t>
            </w:r>
            <w:r>
              <w:rPr>
                <w:noProof/>
                <w:webHidden/>
              </w:rPr>
              <w:fldChar w:fldCharType="end"/>
            </w:r>
          </w:hyperlink>
        </w:p>
        <w:p w14:paraId="213A658F" w14:textId="1908CF20" w:rsidR="000E4626" w:rsidRDefault="000E4626">
          <w:pPr>
            <w:pStyle w:val="TOC2"/>
            <w:tabs>
              <w:tab w:val="right" w:pos="10055"/>
            </w:tabs>
            <w:rPr>
              <w:noProof/>
            </w:rPr>
          </w:pPr>
          <w:hyperlink w:anchor="_Toc151722632" w:history="1">
            <w:r w:rsidRPr="00CF5597">
              <w:rPr>
                <w:rStyle w:val="Hyperlink"/>
                <w:noProof/>
              </w:rPr>
              <w:t>Déroulement de la recherche</w:t>
            </w:r>
            <w:r>
              <w:rPr>
                <w:noProof/>
                <w:webHidden/>
              </w:rPr>
              <w:tab/>
            </w:r>
            <w:r>
              <w:rPr>
                <w:noProof/>
                <w:webHidden/>
              </w:rPr>
              <w:fldChar w:fldCharType="begin"/>
            </w:r>
            <w:r>
              <w:rPr>
                <w:noProof/>
                <w:webHidden/>
              </w:rPr>
              <w:instrText xml:space="preserve"> PAGEREF _Toc151722632 \h </w:instrText>
            </w:r>
            <w:r>
              <w:rPr>
                <w:noProof/>
                <w:webHidden/>
              </w:rPr>
            </w:r>
            <w:r>
              <w:rPr>
                <w:noProof/>
                <w:webHidden/>
              </w:rPr>
              <w:fldChar w:fldCharType="separate"/>
            </w:r>
            <w:r w:rsidR="005C1CE1">
              <w:rPr>
                <w:noProof/>
                <w:webHidden/>
              </w:rPr>
              <w:t>8</w:t>
            </w:r>
            <w:r>
              <w:rPr>
                <w:noProof/>
                <w:webHidden/>
              </w:rPr>
              <w:fldChar w:fldCharType="end"/>
            </w:r>
          </w:hyperlink>
        </w:p>
        <w:p w14:paraId="5856DE30" w14:textId="22F7E1A3" w:rsidR="000E4626" w:rsidRDefault="000E4626">
          <w:pPr>
            <w:pStyle w:val="TOC2"/>
            <w:tabs>
              <w:tab w:val="right" w:pos="10055"/>
            </w:tabs>
            <w:rPr>
              <w:noProof/>
            </w:rPr>
          </w:pPr>
          <w:hyperlink w:anchor="_Toc151722633" w:history="1">
            <w:r w:rsidRPr="00CF5597">
              <w:rPr>
                <w:rStyle w:val="Hyperlink"/>
                <w:noProof/>
              </w:rPr>
              <w:t>Méthodologie de l’étude</w:t>
            </w:r>
            <w:r>
              <w:rPr>
                <w:noProof/>
                <w:webHidden/>
              </w:rPr>
              <w:tab/>
            </w:r>
            <w:r>
              <w:rPr>
                <w:noProof/>
                <w:webHidden/>
              </w:rPr>
              <w:fldChar w:fldCharType="begin"/>
            </w:r>
            <w:r>
              <w:rPr>
                <w:noProof/>
                <w:webHidden/>
              </w:rPr>
              <w:instrText xml:space="preserve"> PAGEREF _Toc151722633 \h </w:instrText>
            </w:r>
            <w:r>
              <w:rPr>
                <w:noProof/>
                <w:webHidden/>
              </w:rPr>
            </w:r>
            <w:r>
              <w:rPr>
                <w:noProof/>
                <w:webHidden/>
              </w:rPr>
              <w:fldChar w:fldCharType="separate"/>
            </w:r>
            <w:r w:rsidR="005C1CE1">
              <w:rPr>
                <w:noProof/>
                <w:webHidden/>
              </w:rPr>
              <w:t>8</w:t>
            </w:r>
            <w:r>
              <w:rPr>
                <w:noProof/>
                <w:webHidden/>
              </w:rPr>
              <w:fldChar w:fldCharType="end"/>
            </w:r>
          </w:hyperlink>
        </w:p>
        <w:p w14:paraId="1796BCF8" w14:textId="5187DC4D" w:rsidR="000E4626" w:rsidRDefault="000E4626">
          <w:pPr>
            <w:pStyle w:val="TOC2"/>
            <w:tabs>
              <w:tab w:val="right" w:pos="10055"/>
            </w:tabs>
            <w:rPr>
              <w:noProof/>
            </w:rPr>
          </w:pPr>
          <w:hyperlink w:anchor="_Toc151722634" w:history="1">
            <w:r w:rsidRPr="00CF5597">
              <w:rPr>
                <w:rStyle w:val="Hyperlink"/>
                <w:noProof/>
              </w:rPr>
              <w:t>Échange sur la compréhension</w:t>
            </w:r>
            <w:r>
              <w:rPr>
                <w:noProof/>
                <w:webHidden/>
              </w:rPr>
              <w:tab/>
            </w:r>
            <w:r>
              <w:rPr>
                <w:noProof/>
                <w:webHidden/>
              </w:rPr>
              <w:fldChar w:fldCharType="begin"/>
            </w:r>
            <w:r>
              <w:rPr>
                <w:noProof/>
                <w:webHidden/>
              </w:rPr>
              <w:instrText xml:space="preserve"> PAGEREF _Toc151722634 \h </w:instrText>
            </w:r>
            <w:r>
              <w:rPr>
                <w:noProof/>
                <w:webHidden/>
              </w:rPr>
            </w:r>
            <w:r>
              <w:rPr>
                <w:noProof/>
                <w:webHidden/>
              </w:rPr>
              <w:fldChar w:fldCharType="separate"/>
            </w:r>
            <w:r w:rsidR="005C1CE1">
              <w:rPr>
                <w:noProof/>
                <w:webHidden/>
              </w:rPr>
              <w:t>9</w:t>
            </w:r>
            <w:r>
              <w:rPr>
                <w:noProof/>
                <w:webHidden/>
              </w:rPr>
              <w:fldChar w:fldCharType="end"/>
            </w:r>
          </w:hyperlink>
        </w:p>
        <w:p w14:paraId="0CDC2E4B" w14:textId="0575DFE3" w:rsidR="000E4626" w:rsidRDefault="000E4626">
          <w:pPr>
            <w:pStyle w:val="TOC2"/>
            <w:tabs>
              <w:tab w:val="right" w:pos="10055"/>
            </w:tabs>
            <w:rPr>
              <w:noProof/>
            </w:rPr>
          </w:pPr>
          <w:hyperlink w:anchor="_Toc151722635" w:history="1">
            <w:r w:rsidRPr="00CF5597">
              <w:rPr>
                <w:rStyle w:val="Hyperlink"/>
                <w:noProof/>
              </w:rPr>
              <w:t>Points à prendre en compte pour les participant·e·s sourd·e·s et malentendant·e·s</w:t>
            </w:r>
            <w:r>
              <w:rPr>
                <w:noProof/>
                <w:webHidden/>
              </w:rPr>
              <w:tab/>
            </w:r>
            <w:r>
              <w:rPr>
                <w:noProof/>
                <w:webHidden/>
              </w:rPr>
              <w:fldChar w:fldCharType="begin"/>
            </w:r>
            <w:r>
              <w:rPr>
                <w:noProof/>
                <w:webHidden/>
              </w:rPr>
              <w:instrText xml:space="preserve"> PAGEREF _Toc151722635 \h </w:instrText>
            </w:r>
            <w:r>
              <w:rPr>
                <w:noProof/>
                <w:webHidden/>
              </w:rPr>
            </w:r>
            <w:r>
              <w:rPr>
                <w:noProof/>
                <w:webHidden/>
              </w:rPr>
              <w:fldChar w:fldCharType="separate"/>
            </w:r>
            <w:r w:rsidR="005C1CE1">
              <w:rPr>
                <w:noProof/>
                <w:webHidden/>
              </w:rPr>
              <w:t>9</w:t>
            </w:r>
            <w:r>
              <w:rPr>
                <w:noProof/>
                <w:webHidden/>
              </w:rPr>
              <w:fldChar w:fldCharType="end"/>
            </w:r>
          </w:hyperlink>
        </w:p>
        <w:p w14:paraId="75E8AF8F" w14:textId="1A6E6221" w:rsidR="000E4626" w:rsidRDefault="000E4626">
          <w:pPr>
            <w:pStyle w:val="TOC2"/>
            <w:tabs>
              <w:tab w:val="right" w:pos="10055"/>
            </w:tabs>
            <w:rPr>
              <w:noProof/>
            </w:rPr>
          </w:pPr>
          <w:hyperlink w:anchor="_Toc151722636" w:history="1">
            <w:r w:rsidRPr="00CF5597">
              <w:rPr>
                <w:rStyle w:val="Hyperlink"/>
                <w:noProof/>
              </w:rPr>
              <w:t>Données démographiques</w:t>
            </w:r>
            <w:r>
              <w:rPr>
                <w:noProof/>
                <w:webHidden/>
              </w:rPr>
              <w:tab/>
            </w:r>
            <w:r>
              <w:rPr>
                <w:noProof/>
                <w:webHidden/>
              </w:rPr>
              <w:fldChar w:fldCharType="begin"/>
            </w:r>
            <w:r>
              <w:rPr>
                <w:noProof/>
                <w:webHidden/>
              </w:rPr>
              <w:instrText xml:space="preserve"> PAGEREF _Toc151722636 \h </w:instrText>
            </w:r>
            <w:r>
              <w:rPr>
                <w:noProof/>
                <w:webHidden/>
              </w:rPr>
            </w:r>
            <w:r>
              <w:rPr>
                <w:noProof/>
                <w:webHidden/>
              </w:rPr>
              <w:fldChar w:fldCharType="separate"/>
            </w:r>
            <w:r w:rsidR="005C1CE1">
              <w:rPr>
                <w:noProof/>
                <w:webHidden/>
              </w:rPr>
              <w:t>9</w:t>
            </w:r>
            <w:r>
              <w:rPr>
                <w:noProof/>
                <w:webHidden/>
              </w:rPr>
              <w:fldChar w:fldCharType="end"/>
            </w:r>
          </w:hyperlink>
        </w:p>
        <w:p w14:paraId="7AA4099D" w14:textId="704BF8E3" w:rsidR="000E4626" w:rsidRDefault="000E4626">
          <w:pPr>
            <w:pStyle w:val="TOC5"/>
            <w:tabs>
              <w:tab w:val="right" w:pos="10055"/>
            </w:tabs>
            <w:rPr>
              <w:noProof/>
            </w:rPr>
          </w:pPr>
          <w:hyperlink w:anchor="_Toc151722637" w:history="1">
            <w:r w:rsidRPr="00CF5597">
              <w:rPr>
                <w:rStyle w:val="Hyperlink"/>
                <w:b/>
                <w:noProof/>
              </w:rPr>
              <w:t>Tableau 1 : Résumé du profil des participant·e·s dans les différents groupes.</w:t>
            </w:r>
            <w:r>
              <w:rPr>
                <w:noProof/>
                <w:webHidden/>
              </w:rPr>
              <w:tab/>
            </w:r>
            <w:r>
              <w:rPr>
                <w:noProof/>
                <w:webHidden/>
              </w:rPr>
              <w:fldChar w:fldCharType="begin"/>
            </w:r>
            <w:r>
              <w:rPr>
                <w:noProof/>
                <w:webHidden/>
              </w:rPr>
              <w:instrText xml:space="preserve"> PAGEREF _Toc151722637 \h </w:instrText>
            </w:r>
            <w:r>
              <w:rPr>
                <w:noProof/>
                <w:webHidden/>
              </w:rPr>
            </w:r>
            <w:r>
              <w:rPr>
                <w:noProof/>
                <w:webHidden/>
              </w:rPr>
              <w:fldChar w:fldCharType="separate"/>
            </w:r>
            <w:r w:rsidR="005C1CE1">
              <w:rPr>
                <w:noProof/>
                <w:webHidden/>
              </w:rPr>
              <w:t>9</w:t>
            </w:r>
            <w:r>
              <w:rPr>
                <w:noProof/>
                <w:webHidden/>
              </w:rPr>
              <w:fldChar w:fldCharType="end"/>
            </w:r>
          </w:hyperlink>
        </w:p>
        <w:p w14:paraId="0211D83B" w14:textId="3B662DC6" w:rsidR="000E4626" w:rsidRDefault="000E4626">
          <w:pPr>
            <w:pStyle w:val="TOC5"/>
            <w:tabs>
              <w:tab w:val="right" w:pos="10055"/>
            </w:tabs>
            <w:rPr>
              <w:noProof/>
            </w:rPr>
          </w:pPr>
          <w:hyperlink w:anchor="_Toc151722638" w:history="1">
            <w:r w:rsidRPr="00CF5597">
              <w:rPr>
                <w:rStyle w:val="Hyperlink"/>
                <w:b/>
                <w:noProof/>
              </w:rPr>
              <w:t>Tableau 2 : Répartition de l’échantillon par tranches d’âge.</w:t>
            </w:r>
            <w:r>
              <w:rPr>
                <w:noProof/>
                <w:webHidden/>
              </w:rPr>
              <w:tab/>
            </w:r>
            <w:r>
              <w:rPr>
                <w:noProof/>
                <w:webHidden/>
              </w:rPr>
              <w:fldChar w:fldCharType="begin"/>
            </w:r>
            <w:r>
              <w:rPr>
                <w:noProof/>
                <w:webHidden/>
              </w:rPr>
              <w:instrText xml:space="preserve"> PAGEREF _Toc151722638 \h </w:instrText>
            </w:r>
            <w:r>
              <w:rPr>
                <w:noProof/>
                <w:webHidden/>
              </w:rPr>
            </w:r>
            <w:r>
              <w:rPr>
                <w:noProof/>
                <w:webHidden/>
              </w:rPr>
              <w:fldChar w:fldCharType="separate"/>
            </w:r>
            <w:r w:rsidR="005C1CE1">
              <w:rPr>
                <w:noProof/>
                <w:webHidden/>
              </w:rPr>
              <w:t>9</w:t>
            </w:r>
            <w:r>
              <w:rPr>
                <w:noProof/>
                <w:webHidden/>
              </w:rPr>
              <w:fldChar w:fldCharType="end"/>
            </w:r>
          </w:hyperlink>
        </w:p>
        <w:p w14:paraId="01A0FD38" w14:textId="6DE427B6" w:rsidR="000E4626" w:rsidRDefault="000E4626">
          <w:pPr>
            <w:pStyle w:val="TOC5"/>
            <w:tabs>
              <w:tab w:val="right" w:pos="10055"/>
            </w:tabs>
            <w:rPr>
              <w:noProof/>
            </w:rPr>
          </w:pPr>
          <w:hyperlink w:anchor="_Toc151722639" w:history="1">
            <w:r w:rsidRPr="00CF5597">
              <w:rPr>
                <w:rStyle w:val="Hyperlink"/>
                <w:b/>
                <w:noProof/>
              </w:rPr>
              <w:t>Tableau 3 : Répartition des participant·e·s en fonction de leur genre.</w:t>
            </w:r>
            <w:r>
              <w:rPr>
                <w:noProof/>
                <w:webHidden/>
              </w:rPr>
              <w:tab/>
            </w:r>
            <w:r>
              <w:rPr>
                <w:noProof/>
                <w:webHidden/>
              </w:rPr>
              <w:fldChar w:fldCharType="begin"/>
            </w:r>
            <w:r>
              <w:rPr>
                <w:noProof/>
                <w:webHidden/>
              </w:rPr>
              <w:instrText xml:space="preserve"> PAGEREF _Toc151722639 \h </w:instrText>
            </w:r>
            <w:r>
              <w:rPr>
                <w:noProof/>
                <w:webHidden/>
              </w:rPr>
            </w:r>
            <w:r>
              <w:rPr>
                <w:noProof/>
                <w:webHidden/>
              </w:rPr>
              <w:fldChar w:fldCharType="separate"/>
            </w:r>
            <w:r w:rsidR="005C1CE1">
              <w:rPr>
                <w:noProof/>
                <w:webHidden/>
              </w:rPr>
              <w:t>10</w:t>
            </w:r>
            <w:r>
              <w:rPr>
                <w:noProof/>
                <w:webHidden/>
              </w:rPr>
              <w:fldChar w:fldCharType="end"/>
            </w:r>
          </w:hyperlink>
        </w:p>
        <w:p w14:paraId="181F0026" w14:textId="43431D06" w:rsidR="000E4626" w:rsidRDefault="000E4626">
          <w:pPr>
            <w:pStyle w:val="TOC2"/>
            <w:tabs>
              <w:tab w:val="right" w:pos="10055"/>
            </w:tabs>
            <w:rPr>
              <w:noProof/>
            </w:rPr>
          </w:pPr>
          <w:hyperlink w:anchor="_Toc151722640" w:history="1">
            <w:r w:rsidRPr="00CF5597">
              <w:rPr>
                <w:rStyle w:val="Hyperlink"/>
                <w:noProof/>
              </w:rPr>
              <w:t>Explication des deux formats de sous-titres</w:t>
            </w:r>
            <w:r>
              <w:rPr>
                <w:noProof/>
                <w:webHidden/>
              </w:rPr>
              <w:tab/>
            </w:r>
            <w:r>
              <w:rPr>
                <w:noProof/>
                <w:webHidden/>
              </w:rPr>
              <w:fldChar w:fldCharType="begin"/>
            </w:r>
            <w:r>
              <w:rPr>
                <w:noProof/>
                <w:webHidden/>
              </w:rPr>
              <w:instrText xml:space="preserve"> PAGEREF _Toc151722640 \h </w:instrText>
            </w:r>
            <w:r>
              <w:rPr>
                <w:noProof/>
                <w:webHidden/>
              </w:rPr>
            </w:r>
            <w:r>
              <w:rPr>
                <w:noProof/>
                <w:webHidden/>
              </w:rPr>
              <w:fldChar w:fldCharType="separate"/>
            </w:r>
            <w:r w:rsidR="005C1CE1">
              <w:rPr>
                <w:noProof/>
                <w:webHidden/>
              </w:rPr>
              <w:t>10</w:t>
            </w:r>
            <w:r>
              <w:rPr>
                <w:noProof/>
                <w:webHidden/>
              </w:rPr>
              <w:fldChar w:fldCharType="end"/>
            </w:r>
          </w:hyperlink>
        </w:p>
        <w:p w14:paraId="7855821E" w14:textId="790BB1F5" w:rsidR="000E4626" w:rsidRDefault="000E4626">
          <w:pPr>
            <w:pStyle w:val="TOC5"/>
            <w:tabs>
              <w:tab w:val="right" w:pos="10055"/>
            </w:tabs>
            <w:rPr>
              <w:noProof/>
            </w:rPr>
          </w:pPr>
          <w:hyperlink w:anchor="_Toc151722641" w:history="1">
            <w:r w:rsidRPr="00CF5597">
              <w:rPr>
                <w:rStyle w:val="Hyperlink"/>
                <w:b/>
                <w:noProof/>
              </w:rPr>
              <w:t>Tableau 4 : Les différents styles de sous-titres auxquels les participant·e·s ont été exposé·e·s et qu’ils/elles ont commentés durant l’étude.</w:t>
            </w:r>
            <w:r>
              <w:rPr>
                <w:noProof/>
                <w:webHidden/>
              </w:rPr>
              <w:tab/>
            </w:r>
            <w:r>
              <w:rPr>
                <w:noProof/>
                <w:webHidden/>
              </w:rPr>
              <w:fldChar w:fldCharType="begin"/>
            </w:r>
            <w:r>
              <w:rPr>
                <w:noProof/>
                <w:webHidden/>
              </w:rPr>
              <w:instrText xml:space="preserve"> PAGEREF _Toc151722641 \h </w:instrText>
            </w:r>
            <w:r>
              <w:rPr>
                <w:noProof/>
                <w:webHidden/>
              </w:rPr>
            </w:r>
            <w:r>
              <w:rPr>
                <w:noProof/>
                <w:webHidden/>
              </w:rPr>
              <w:fldChar w:fldCharType="separate"/>
            </w:r>
            <w:r w:rsidR="005C1CE1">
              <w:rPr>
                <w:noProof/>
                <w:webHidden/>
              </w:rPr>
              <w:t>10</w:t>
            </w:r>
            <w:r>
              <w:rPr>
                <w:noProof/>
                <w:webHidden/>
              </w:rPr>
              <w:fldChar w:fldCharType="end"/>
            </w:r>
          </w:hyperlink>
        </w:p>
        <w:p w14:paraId="036DC18E" w14:textId="19799356" w:rsidR="000E4626" w:rsidRDefault="000E4626">
          <w:pPr>
            <w:pStyle w:val="TOC5"/>
            <w:tabs>
              <w:tab w:val="right" w:pos="10055"/>
            </w:tabs>
            <w:rPr>
              <w:noProof/>
            </w:rPr>
          </w:pPr>
          <w:hyperlink w:anchor="_Toc151722642" w:history="1">
            <w:r w:rsidRPr="00CF5597">
              <w:rPr>
                <w:rStyle w:val="Hyperlink"/>
                <w:b/>
                <w:noProof/>
              </w:rPr>
              <w:t>Schéma 1 : Affichage à l’écran des sous-titres de type transcription des commentaires et des sous-titres de type intégral pendant le déroulement du match.</w:t>
            </w:r>
            <w:r>
              <w:rPr>
                <w:noProof/>
                <w:webHidden/>
              </w:rPr>
              <w:tab/>
            </w:r>
            <w:r>
              <w:rPr>
                <w:noProof/>
                <w:webHidden/>
              </w:rPr>
              <w:fldChar w:fldCharType="begin"/>
            </w:r>
            <w:r>
              <w:rPr>
                <w:noProof/>
                <w:webHidden/>
              </w:rPr>
              <w:instrText xml:space="preserve"> PAGEREF _Toc151722642 \h </w:instrText>
            </w:r>
            <w:r>
              <w:rPr>
                <w:noProof/>
                <w:webHidden/>
              </w:rPr>
            </w:r>
            <w:r>
              <w:rPr>
                <w:noProof/>
                <w:webHidden/>
              </w:rPr>
              <w:fldChar w:fldCharType="separate"/>
            </w:r>
            <w:r w:rsidR="005C1CE1">
              <w:rPr>
                <w:noProof/>
                <w:webHidden/>
              </w:rPr>
              <w:t>11</w:t>
            </w:r>
            <w:r>
              <w:rPr>
                <w:noProof/>
                <w:webHidden/>
              </w:rPr>
              <w:fldChar w:fldCharType="end"/>
            </w:r>
          </w:hyperlink>
        </w:p>
        <w:p w14:paraId="24A705A2" w14:textId="30F51386" w:rsidR="000E4626" w:rsidRDefault="000E4626">
          <w:pPr>
            <w:pStyle w:val="TOC5"/>
            <w:tabs>
              <w:tab w:val="right" w:pos="10055"/>
            </w:tabs>
            <w:rPr>
              <w:noProof/>
            </w:rPr>
          </w:pPr>
          <w:hyperlink w:anchor="_Toc151722643" w:history="1">
            <w:r w:rsidRPr="00CF5597">
              <w:rPr>
                <w:rStyle w:val="Hyperlink"/>
                <w:b/>
                <w:noProof/>
              </w:rPr>
              <w:t>Figure 2 : Apparition à l’écran des sous-titres de type transcription des commentaires (CO) et des sous-titres de type intégral (PBP) pendant les commentaires en direct.</w:t>
            </w:r>
            <w:r>
              <w:rPr>
                <w:noProof/>
                <w:webHidden/>
              </w:rPr>
              <w:tab/>
            </w:r>
            <w:r>
              <w:rPr>
                <w:noProof/>
                <w:webHidden/>
              </w:rPr>
              <w:fldChar w:fldCharType="begin"/>
            </w:r>
            <w:r>
              <w:rPr>
                <w:noProof/>
                <w:webHidden/>
              </w:rPr>
              <w:instrText xml:space="preserve"> PAGEREF _Toc151722643 \h </w:instrText>
            </w:r>
            <w:r>
              <w:rPr>
                <w:noProof/>
                <w:webHidden/>
              </w:rPr>
            </w:r>
            <w:r>
              <w:rPr>
                <w:noProof/>
                <w:webHidden/>
              </w:rPr>
              <w:fldChar w:fldCharType="separate"/>
            </w:r>
            <w:r w:rsidR="005C1CE1">
              <w:rPr>
                <w:noProof/>
                <w:webHidden/>
              </w:rPr>
              <w:t>11</w:t>
            </w:r>
            <w:r>
              <w:rPr>
                <w:noProof/>
                <w:webHidden/>
              </w:rPr>
              <w:fldChar w:fldCharType="end"/>
            </w:r>
          </w:hyperlink>
        </w:p>
        <w:p w14:paraId="368FCF4D" w14:textId="6265E8F3" w:rsidR="000E4626" w:rsidRDefault="000E4626">
          <w:pPr>
            <w:pStyle w:val="TOC2"/>
            <w:tabs>
              <w:tab w:val="right" w:pos="10055"/>
            </w:tabs>
            <w:rPr>
              <w:noProof/>
            </w:rPr>
          </w:pPr>
          <w:hyperlink w:anchor="_Toc151722644" w:history="1">
            <w:r w:rsidRPr="00CF5597">
              <w:rPr>
                <w:rStyle w:val="Hyperlink"/>
                <w:noProof/>
              </w:rPr>
              <w:t>Comparaison des formats de sous-titrage pour personnes sourdes et malentendantes : sous-titres de type transcription des commentaires et sous-titres de type intégral.</w:t>
            </w:r>
            <w:r>
              <w:rPr>
                <w:noProof/>
                <w:webHidden/>
              </w:rPr>
              <w:tab/>
            </w:r>
            <w:r>
              <w:rPr>
                <w:noProof/>
                <w:webHidden/>
              </w:rPr>
              <w:fldChar w:fldCharType="begin"/>
            </w:r>
            <w:r>
              <w:rPr>
                <w:noProof/>
                <w:webHidden/>
              </w:rPr>
              <w:instrText xml:space="preserve"> PAGEREF _Toc151722644 \h </w:instrText>
            </w:r>
            <w:r>
              <w:rPr>
                <w:noProof/>
                <w:webHidden/>
              </w:rPr>
            </w:r>
            <w:r>
              <w:rPr>
                <w:noProof/>
                <w:webHidden/>
              </w:rPr>
              <w:fldChar w:fldCharType="separate"/>
            </w:r>
            <w:r w:rsidR="005C1CE1">
              <w:rPr>
                <w:noProof/>
                <w:webHidden/>
              </w:rPr>
              <w:t>11</w:t>
            </w:r>
            <w:r>
              <w:rPr>
                <w:noProof/>
                <w:webHidden/>
              </w:rPr>
              <w:fldChar w:fldCharType="end"/>
            </w:r>
          </w:hyperlink>
        </w:p>
        <w:p w14:paraId="46108055" w14:textId="6365808B" w:rsidR="000E4626" w:rsidRDefault="000E4626">
          <w:pPr>
            <w:pStyle w:val="TOC5"/>
            <w:tabs>
              <w:tab w:val="right" w:pos="10055"/>
            </w:tabs>
            <w:rPr>
              <w:noProof/>
            </w:rPr>
          </w:pPr>
          <w:hyperlink w:anchor="_Toc151722645" w:history="1">
            <w:r w:rsidRPr="00CF5597">
              <w:rPr>
                <w:rStyle w:val="Hyperlink"/>
                <w:b/>
                <w:noProof/>
              </w:rPr>
              <w:t>Schéma 3 : Diagramme illustrant la durée de temps en pourcentages pendant laquelle les participant·e·s, y compris les personnes sourdes ou malentendantes ont porté leur regard sur les deux zones d’intérêt.</w:t>
            </w:r>
            <w:r>
              <w:rPr>
                <w:noProof/>
                <w:webHidden/>
              </w:rPr>
              <w:tab/>
            </w:r>
            <w:r>
              <w:rPr>
                <w:noProof/>
                <w:webHidden/>
              </w:rPr>
              <w:fldChar w:fldCharType="begin"/>
            </w:r>
            <w:r>
              <w:rPr>
                <w:noProof/>
                <w:webHidden/>
              </w:rPr>
              <w:instrText xml:space="preserve"> PAGEREF _Toc151722645 \h </w:instrText>
            </w:r>
            <w:r>
              <w:rPr>
                <w:noProof/>
                <w:webHidden/>
              </w:rPr>
            </w:r>
            <w:r>
              <w:rPr>
                <w:noProof/>
                <w:webHidden/>
              </w:rPr>
              <w:fldChar w:fldCharType="separate"/>
            </w:r>
            <w:r w:rsidR="005C1CE1">
              <w:rPr>
                <w:noProof/>
                <w:webHidden/>
              </w:rPr>
              <w:t>12</w:t>
            </w:r>
            <w:r>
              <w:rPr>
                <w:noProof/>
                <w:webHidden/>
              </w:rPr>
              <w:fldChar w:fldCharType="end"/>
            </w:r>
          </w:hyperlink>
        </w:p>
        <w:p w14:paraId="02182209" w14:textId="705B6AE9" w:rsidR="000E4626" w:rsidRDefault="000E4626">
          <w:pPr>
            <w:pStyle w:val="TOC5"/>
            <w:tabs>
              <w:tab w:val="right" w:pos="10055"/>
            </w:tabs>
            <w:rPr>
              <w:noProof/>
            </w:rPr>
          </w:pPr>
          <w:hyperlink w:anchor="_Toc151722646" w:history="1">
            <w:r w:rsidRPr="00CF5597">
              <w:rPr>
                <w:rStyle w:val="Hyperlink"/>
                <w:b/>
                <w:noProof/>
              </w:rPr>
              <w:t>Schéma 4 : Moyenne et écart-type (lignes) de la durée des regards portés sur les deux zones d’intérêt pour les deux formats de sous-titrage.</w:t>
            </w:r>
            <w:r>
              <w:rPr>
                <w:noProof/>
                <w:webHidden/>
              </w:rPr>
              <w:tab/>
            </w:r>
            <w:r>
              <w:rPr>
                <w:noProof/>
                <w:webHidden/>
              </w:rPr>
              <w:fldChar w:fldCharType="begin"/>
            </w:r>
            <w:r>
              <w:rPr>
                <w:noProof/>
                <w:webHidden/>
              </w:rPr>
              <w:instrText xml:space="preserve"> PAGEREF _Toc151722646 \h </w:instrText>
            </w:r>
            <w:r>
              <w:rPr>
                <w:noProof/>
                <w:webHidden/>
              </w:rPr>
            </w:r>
            <w:r>
              <w:rPr>
                <w:noProof/>
                <w:webHidden/>
              </w:rPr>
              <w:fldChar w:fldCharType="separate"/>
            </w:r>
            <w:r w:rsidR="005C1CE1">
              <w:rPr>
                <w:noProof/>
                <w:webHidden/>
              </w:rPr>
              <w:t>13</w:t>
            </w:r>
            <w:r>
              <w:rPr>
                <w:noProof/>
                <w:webHidden/>
              </w:rPr>
              <w:fldChar w:fldCharType="end"/>
            </w:r>
          </w:hyperlink>
        </w:p>
        <w:p w14:paraId="72DE6EFC" w14:textId="6348535A" w:rsidR="000E4626" w:rsidRDefault="000E4626">
          <w:pPr>
            <w:pStyle w:val="TOC5"/>
            <w:tabs>
              <w:tab w:val="right" w:pos="10055"/>
            </w:tabs>
            <w:rPr>
              <w:noProof/>
            </w:rPr>
          </w:pPr>
          <w:hyperlink w:anchor="_Toc151722647" w:history="1">
            <w:r w:rsidRPr="00CF5597">
              <w:rPr>
                <w:rStyle w:val="Hyperlink"/>
                <w:b/>
                <w:noProof/>
              </w:rPr>
              <w:t>Schéma 5 : Moyenne et écart-type (lignes) de la fréquence des regards portés sur les deux zones d’intérêt pour les deux formats de sous-titrage.</w:t>
            </w:r>
            <w:r>
              <w:rPr>
                <w:noProof/>
                <w:webHidden/>
              </w:rPr>
              <w:tab/>
            </w:r>
            <w:r>
              <w:rPr>
                <w:noProof/>
                <w:webHidden/>
              </w:rPr>
              <w:fldChar w:fldCharType="begin"/>
            </w:r>
            <w:r>
              <w:rPr>
                <w:noProof/>
                <w:webHidden/>
              </w:rPr>
              <w:instrText xml:space="preserve"> PAGEREF _Toc151722647 \h </w:instrText>
            </w:r>
            <w:r>
              <w:rPr>
                <w:noProof/>
                <w:webHidden/>
              </w:rPr>
            </w:r>
            <w:r>
              <w:rPr>
                <w:noProof/>
                <w:webHidden/>
              </w:rPr>
              <w:fldChar w:fldCharType="separate"/>
            </w:r>
            <w:r w:rsidR="005C1CE1">
              <w:rPr>
                <w:noProof/>
                <w:webHidden/>
              </w:rPr>
              <w:t>13</w:t>
            </w:r>
            <w:r>
              <w:rPr>
                <w:noProof/>
                <w:webHidden/>
              </w:rPr>
              <w:fldChar w:fldCharType="end"/>
            </w:r>
          </w:hyperlink>
        </w:p>
        <w:p w14:paraId="5A54B0D5" w14:textId="27384C63" w:rsidR="000E4626" w:rsidRDefault="000E4626">
          <w:pPr>
            <w:pStyle w:val="TOC2"/>
            <w:tabs>
              <w:tab w:val="right" w:pos="10055"/>
            </w:tabs>
            <w:rPr>
              <w:noProof/>
            </w:rPr>
          </w:pPr>
          <w:hyperlink w:anchor="_Toc151722648" w:history="1">
            <w:r w:rsidRPr="00CF5597">
              <w:rPr>
                <w:rStyle w:val="Hyperlink"/>
                <w:noProof/>
              </w:rPr>
              <w:t>Préférences du format de sous-titrage, satisfaction de la qualité et expérience de visionnement</w:t>
            </w:r>
            <w:r>
              <w:rPr>
                <w:noProof/>
                <w:webHidden/>
              </w:rPr>
              <w:tab/>
            </w:r>
            <w:r>
              <w:rPr>
                <w:noProof/>
                <w:webHidden/>
              </w:rPr>
              <w:fldChar w:fldCharType="begin"/>
            </w:r>
            <w:r>
              <w:rPr>
                <w:noProof/>
                <w:webHidden/>
              </w:rPr>
              <w:instrText xml:space="preserve"> PAGEREF _Toc151722648 \h </w:instrText>
            </w:r>
            <w:r>
              <w:rPr>
                <w:noProof/>
                <w:webHidden/>
              </w:rPr>
            </w:r>
            <w:r>
              <w:rPr>
                <w:noProof/>
                <w:webHidden/>
              </w:rPr>
              <w:fldChar w:fldCharType="separate"/>
            </w:r>
            <w:r w:rsidR="005C1CE1">
              <w:rPr>
                <w:noProof/>
                <w:webHidden/>
              </w:rPr>
              <w:t>15</w:t>
            </w:r>
            <w:r>
              <w:rPr>
                <w:noProof/>
                <w:webHidden/>
              </w:rPr>
              <w:fldChar w:fldCharType="end"/>
            </w:r>
          </w:hyperlink>
        </w:p>
        <w:p w14:paraId="7E10D2E3" w14:textId="1A42AC09" w:rsidR="000E4626" w:rsidRDefault="000E4626">
          <w:pPr>
            <w:pStyle w:val="TOC5"/>
            <w:tabs>
              <w:tab w:val="right" w:pos="10055"/>
            </w:tabs>
            <w:rPr>
              <w:noProof/>
            </w:rPr>
          </w:pPr>
          <w:hyperlink w:anchor="_Toc151722649" w:history="1">
            <w:r w:rsidRPr="00CF5597">
              <w:rPr>
                <w:rStyle w:val="Hyperlink"/>
                <w:b/>
                <w:noProof/>
              </w:rPr>
              <w:t>Schéma 6 : Nombre de participant·e·s selon leur préférence de format.</w:t>
            </w:r>
            <w:r>
              <w:rPr>
                <w:noProof/>
                <w:webHidden/>
              </w:rPr>
              <w:tab/>
            </w:r>
            <w:r>
              <w:rPr>
                <w:noProof/>
                <w:webHidden/>
              </w:rPr>
              <w:fldChar w:fldCharType="begin"/>
            </w:r>
            <w:r>
              <w:rPr>
                <w:noProof/>
                <w:webHidden/>
              </w:rPr>
              <w:instrText xml:space="preserve"> PAGEREF _Toc151722649 \h </w:instrText>
            </w:r>
            <w:r>
              <w:rPr>
                <w:noProof/>
                <w:webHidden/>
              </w:rPr>
            </w:r>
            <w:r>
              <w:rPr>
                <w:noProof/>
                <w:webHidden/>
              </w:rPr>
              <w:fldChar w:fldCharType="separate"/>
            </w:r>
            <w:r w:rsidR="005C1CE1">
              <w:rPr>
                <w:noProof/>
                <w:webHidden/>
              </w:rPr>
              <w:t>15</w:t>
            </w:r>
            <w:r>
              <w:rPr>
                <w:noProof/>
                <w:webHidden/>
              </w:rPr>
              <w:fldChar w:fldCharType="end"/>
            </w:r>
          </w:hyperlink>
        </w:p>
        <w:p w14:paraId="667743CD" w14:textId="31E207BB" w:rsidR="000E4626" w:rsidRDefault="000E4626">
          <w:pPr>
            <w:pStyle w:val="TOC5"/>
            <w:tabs>
              <w:tab w:val="right" w:pos="10055"/>
            </w:tabs>
            <w:rPr>
              <w:noProof/>
            </w:rPr>
          </w:pPr>
          <w:hyperlink w:anchor="_Toc151722650" w:history="1">
            <w:r w:rsidRPr="00CF5597">
              <w:rPr>
                <w:rStyle w:val="Hyperlink"/>
                <w:b/>
                <w:noProof/>
              </w:rPr>
              <w:t>Schéma 7 : Moyenne et écart-type de l’évaluation de la satisfaction de la qualité, de l’expérience de visionnement et de l’utilité des sous-titres, où une note de 1 représente un niveau bas (soit une qualité très faible) et une note de 5 représente un niveau élevé (soit une très haute qualité).</w:t>
            </w:r>
            <w:r>
              <w:rPr>
                <w:noProof/>
                <w:webHidden/>
              </w:rPr>
              <w:tab/>
            </w:r>
            <w:r>
              <w:rPr>
                <w:noProof/>
                <w:webHidden/>
              </w:rPr>
              <w:fldChar w:fldCharType="begin"/>
            </w:r>
            <w:r>
              <w:rPr>
                <w:noProof/>
                <w:webHidden/>
              </w:rPr>
              <w:instrText xml:space="preserve"> PAGEREF _Toc151722650 \h </w:instrText>
            </w:r>
            <w:r>
              <w:rPr>
                <w:noProof/>
                <w:webHidden/>
              </w:rPr>
            </w:r>
            <w:r>
              <w:rPr>
                <w:noProof/>
                <w:webHidden/>
              </w:rPr>
              <w:fldChar w:fldCharType="separate"/>
            </w:r>
            <w:r w:rsidR="005C1CE1">
              <w:rPr>
                <w:noProof/>
                <w:webHidden/>
              </w:rPr>
              <w:t>16</w:t>
            </w:r>
            <w:r>
              <w:rPr>
                <w:noProof/>
                <w:webHidden/>
              </w:rPr>
              <w:fldChar w:fldCharType="end"/>
            </w:r>
          </w:hyperlink>
        </w:p>
        <w:p w14:paraId="0870FAB3" w14:textId="4A6A1A80" w:rsidR="000E4626" w:rsidRDefault="000E4626">
          <w:pPr>
            <w:pStyle w:val="TOC5"/>
            <w:tabs>
              <w:tab w:val="right" w:pos="10055"/>
            </w:tabs>
            <w:rPr>
              <w:noProof/>
            </w:rPr>
          </w:pPr>
          <w:hyperlink w:anchor="_Toc151722651" w:history="1">
            <w:r w:rsidRPr="00CF5597">
              <w:rPr>
                <w:rStyle w:val="Hyperlink"/>
                <w:b/>
                <w:noProof/>
              </w:rPr>
              <w:t>Schéma 8 : Diagrammes en couleur illustrant la corrélation entre les évaluations des conditions des deux formats de sous-titres, mesurée par le coefficient de Kendall.</w:t>
            </w:r>
            <w:r>
              <w:rPr>
                <w:noProof/>
                <w:webHidden/>
              </w:rPr>
              <w:tab/>
            </w:r>
            <w:r>
              <w:rPr>
                <w:noProof/>
                <w:webHidden/>
              </w:rPr>
              <w:fldChar w:fldCharType="begin"/>
            </w:r>
            <w:r>
              <w:rPr>
                <w:noProof/>
                <w:webHidden/>
              </w:rPr>
              <w:instrText xml:space="preserve"> PAGEREF _Toc151722651 \h </w:instrText>
            </w:r>
            <w:r>
              <w:rPr>
                <w:noProof/>
                <w:webHidden/>
              </w:rPr>
            </w:r>
            <w:r>
              <w:rPr>
                <w:noProof/>
                <w:webHidden/>
              </w:rPr>
              <w:fldChar w:fldCharType="separate"/>
            </w:r>
            <w:r w:rsidR="005C1CE1">
              <w:rPr>
                <w:noProof/>
                <w:webHidden/>
              </w:rPr>
              <w:t>16</w:t>
            </w:r>
            <w:r>
              <w:rPr>
                <w:noProof/>
                <w:webHidden/>
              </w:rPr>
              <w:fldChar w:fldCharType="end"/>
            </w:r>
          </w:hyperlink>
        </w:p>
        <w:p w14:paraId="714E55BA" w14:textId="6155D74A" w:rsidR="000E4626" w:rsidRDefault="000E4626">
          <w:pPr>
            <w:pStyle w:val="TOC2"/>
            <w:tabs>
              <w:tab w:val="right" w:pos="10055"/>
            </w:tabs>
            <w:rPr>
              <w:noProof/>
            </w:rPr>
          </w:pPr>
          <w:hyperlink w:anchor="_Toc151722652" w:history="1">
            <w:r w:rsidRPr="00CF5597">
              <w:rPr>
                <w:rStyle w:val="Hyperlink"/>
                <w:noProof/>
              </w:rPr>
              <w:t>Compréhension</w:t>
            </w:r>
            <w:r>
              <w:rPr>
                <w:noProof/>
                <w:webHidden/>
              </w:rPr>
              <w:tab/>
            </w:r>
            <w:r>
              <w:rPr>
                <w:noProof/>
                <w:webHidden/>
              </w:rPr>
              <w:fldChar w:fldCharType="begin"/>
            </w:r>
            <w:r>
              <w:rPr>
                <w:noProof/>
                <w:webHidden/>
              </w:rPr>
              <w:instrText xml:space="preserve"> PAGEREF _Toc151722652 \h </w:instrText>
            </w:r>
            <w:r>
              <w:rPr>
                <w:noProof/>
                <w:webHidden/>
              </w:rPr>
            </w:r>
            <w:r>
              <w:rPr>
                <w:noProof/>
                <w:webHidden/>
              </w:rPr>
              <w:fldChar w:fldCharType="separate"/>
            </w:r>
            <w:r w:rsidR="005C1CE1">
              <w:rPr>
                <w:noProof/>
                <w:webHidden/>
              </w:rPr>
              <w:t>17</w:t>
            </w:r>
            <w:r>
              <w:rPr>
                <w:noProof/>
                <w:webHidden/>
              </w:rPr>
              <w:fldChar w:fldCharType="end"/>
            </w:r>
          </w:hyperlink>
        </w:p>
        <w:p w14:paraId="653BC351" w14:textId="39C8D9C5" w:rsidR="000E4626" w:rsidRDefault="000E4626">
          <w:pPr>
            <w:pStyle w:val="TOC5"/>
            <w:tabs>
              <w:tab w:val="right" w:pos="10055"/>
            </w:tabs>
            <w:rPr>
              <w:noProof/>
            </w:rPr>
          </w:pPr>
          <w:hyperlink w:anchor="_Toc151722653" w:history="1">
            <w:r w:rsidRPr="00CF5597">
              <w:rPr>
                <w:rStyle w:val="Hyperlink"/>
                <w:noProof/>
              </w:rPr>
              <w:t>Schéma 9 : Moyenne et écart type des scores de compréhension des questions liées au déroulement du match et aux commentaires.</w:t>
            </w:r>
            <w:r>
              <w:rPr>
                <w:noProof/>
                <w:webHidden/>
              </w:rPr>
              <w:tab/>
            </w:r>
            <w:r>
              <w:rPr>
                <w:noProof/>
                <w:webHidden/>
              </w:rPr>
              <w:fldChar w:fldCharType="begin"/>
            </w:r>
            <w:r>
              <w:rPr>
                <w:noProof/>
                <w:webHidden/>
              </w:rPr>
              <w:instrText xml:space="preserve"> PAGEREF _Toc151722653 \h </w:instrText>
            </w:r>
            <w:r>
              <w:rPr>
                <w:noProof/>
                <w:webHidden/>
              </w:rPr>
            </w:r>
            <w:r>
              <w:rPr>
                <w:noProof/>
                <w:webHidden/>
              </w:rPr>
              <w:fldChar w:fldCharType="separate"/>
            </w:r>
            <w:r w:rsidR="005C1CE1">
              <w:rPr>
                <w:noProof/>
                <w:webHidden/>
              </w:rPr>
              <w:t>17</w:t>
            </w:r>
            <w:r>
              <w:rPr>
                <w:noProof/>
                <w:webHidden/>
              </w:rPr>
              <w:fldChar w:fldCharType="end"/>
            </w:r>
          </w:hyperlink>
        </w:p>
        <w:p w14:paraId="40C0F948" w14:textId="51AA89A4" w:rsidR="000E4626" w:rsidRDefault="000E4626">
          <w:pPr>
            <w:pStyle w:val="TOC2"/>
            <w:tabs>
              <w:tab w:val="right" w:pos="10055"/>
            </w:tabs>
            <w:rPr>
              <w:noProof/>
            </w:rPr>
          </w:pPr>
          <w:hyperlink w:anchor="_Toc151722654" w:history="1">
            <w:r w:rsidRPr="00CF5597">
              <w:rPr>
                <w:rStyle w:val="Hyperlink"/>
                <w:noProof/>
              </w:rPr>
              <w:t>Limites de l’étude</w:t>
            </w:r>
            <w:r>
              <w:rPr>
                <w:noProof/>
                <w:webHidden/>
              </w:rPr>
              <w:tab/>
            </w:r>
            <w:r>
              <w:rPr>
                <w:noProof/>
                <w:webHidden/>
              </w:rPr>
              <w:fldChar w:fldCharType="begin"/>
            </w:r>
            <w:r>
              <w:rPr>
                <w:noProof/>
                <w:webHidden/>
              </w:rPr>
              <w:instrText xml:space="preserve"> PAGEREF _Toc151722654 \h </w:instrText>
            </w:r>
            <w:r>
              <w:rPr>
                <w:noProof/>
                <w:webHidden/>
              </w:rPr>
            </w:r>
            <w:r>
              <w:rPr>
                <w:noProof/>
                <w:webHidden/>
              </w:rPr>
              <w:fldChar w:fldCharType="separate"/>
            </w:r>
            <w:r w:rsidR="005C1CE1">
              <w:rPr>
                <w:noProof/>
                <w:webHidden/>
              </w:rPr>
              <w:t>17</w:t>
            </w:r>
            <w:r>
              <w:rPr>
                <w:noProof/>
                <w:webHidden/>
              </w:rPr>
              <w:fldChar w:fldCharType="end"/>
            </w:r>
          </w:hyperlink>
        </w:p>
        <w:p w14:paraId="4628067D" w14:textId="45B6E478" w:rsidR="000E4626" w:rsidRDefault="000E4626">
          <w:pPr>
            <w:pStyle w:val="TOC1"/>
            <w:tabs>
              <w:tab w:val="right" w:pos="10055"/>
            </w:tabs>
            <w:rPr>
              <w:noProof/>
            </w:rPr>
          </w:pPr>
          <w:hyperlink w:anchor="_Toc151722655" w:history="1">
            <w:r w:rsidRPr="00CF5597">
              <w:rPr>
                <w:rStyle w:val="Hyperlink"/>
                <w:noProof/>
              </w:rPr>
              <w:t>Conclusion</w:t>
            </w:r>
            <w:r>
              <w:rPr>
                <w:noProof/>
                <w:webHidden/>
              </w:rPr>
              <w:tab/>
            </w:r>
            <w:r>
              <w:rPr>
                <w:noProof/>
                <w:webHidden/>
              </w:rPr>
              <w:fldChar w:fldCharType="begin"/>
            </w:r>
            <w:r>
              <w:rPr>
                <w:noProof/>
                <w:webHidden/>
              </w:rPr>
              <w:instrText xml:space="preserve"> PAGEREF _Toc151722655 \h </w:instrText>
            </w:r>
            <w:r>
              <w:rPr>
                <w:noProof/>
                <w:webHidden/>
              </w:rPr>
            </w:r>
            <w:r>
              <w:rPr>
                <w:noProof/>
                <w:webHidden/>
              </w:rPr>
              <w:fldChar w:fldCharType="separate"/>
            </w:r>
            <w:r w:rsidR="005C1CE1">
              <w:rPr>
                <w:noProof/>
                <w:webHidden/>
              </w:rPr>
              <w:t>18</w:t>
            </w:r>
            <w:r>
              <w:rPr>
                <w:noProof/>
                <w:webHidden/>
              </w:rPr>
              <w:fldChar w:fldCharType="end"/>
            </w:r>
          </w:hyperlink>
        </w:p>
        <w:p w14:paraId="32817E91" w14:textId="088DC041" w:rsidR="00071486" w:rsidRDefault="00000000">
          <w:pPr>
            <w:widowControl w:val="0"/>
            <w:tabs>
              <w:tab w:val="right" w:pos="12000"/>
            </w:tabs>
            <w:rPr>
              <w:b/>
              <w:color w:val="000000"/>
            </w:rPr>
          </w:pPr>
          <w:r>
            <w:fldChar w:fldCharType="end"/>
          </w:r>
        </w:p>
      </w:sdtContent>
    </w:sdt>
    <w:p w14:paraId="2CE14769" w14:textId="77777777" w:rsidR="00071486" w:rsidRDefault="00071486">
      <w:pPr>
        <w:keepNext/>
        <w:keepLines/>
        <w:pBdr>
          <w:top w:val="nil"/>
          <w:left w:val="nil"/>
          <w:bottom w:val="nil"/>
          <w:right w:val="nil"/>
          <w:between w:val="nil"/>
        </w:pBdr>
        <w:spacing w:before="240" w:after="0"/>
        <w:rPr>
          <w:b/>
          <w:color w:val="004D9A"/>
          <w:sz w:val="32"/>
          <w:szCs w:val="32"/>
        </w:rPr>
        <w:sectPr w:rsidR="00071486">
          <w:headerReference w:type="default" r:id="rId16"/>
          <w:footerReference w:type="default" r:id="rId17"/>
          <w:pgSz w:w="12240" w:h="15840"/>
          <w:pgMar w:top="1134" w:right="1041" w:bottom="1134" w:left="1134" w:header="709" w:footer="709" w:gutter="0"/>
          <w:cols w:space="720"/>
        </w:sectPr>
      </w:pPr>
    </w:p>
    <w:p w14:paraId="597D4C9A" w14:textId="77777777" w:rsidR="00071486" w:rsidRDefault="00000000">
      <w:pPr>
        <w:pStyle w:val="Heading1"/>
        <w:spacing w:after="200"/>
        <w:ind w:left="0" w:firstLine="0"/>
      </w:pPr>
      <w:bookmarkStart w:id="1" w:name="_Toc151722624"/>
      <w:r>
        <w:lastRenderedPageBreak/>
        <w:t>Résumé</w:t>
      </w:r>
      <w:bookmarkEnd w:id="1"/>
    </w:p>
    <w:p w14:paraId="36F09865" w14:textId="21124954" w:rsidR="00071486" w:rsidRDefault="00000000">
      <w:pPr>
        <w:tabs>
          <w:tab w:val="left" w:pos="-1800"/>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r>
        <w:rPr>
          <w:color w:val="000000"/>
        </w:rPr>
        <w:t xml:space="preserve">Les diffusions en direct des sports à rythme rapide sont un élément important à prendre en compte lors de l’évaluation de l’expérience </w:t>
      </w:r>
      <w:proofErr w:type="spellStart"/>
      <w:r>
        <w:rPr>
          <w:color w:val="000000"/>
        </w:rPr>
        <w:t>utilisateur·trice</w:t>
      </w:r>
      <w:proofErr w:type="spellEnd"/>
      <w:r>
        <w:rPr>
          <w:color w:val="000000"/>
        </w:rPr>
        <w:t xml:space="preserve"> du visionnement des sous-titres</w:t>
      </w:r>
      <w:r>
        <w:t xml:space="preserve">. En effet, les sous-titres de ce type de retransmissions ont souvent tendance à contenir de nombreuses erreurs et représentent le contenu le plus difficile à sous-titrer en raison de leur rythme soutenu. </w:t>
      </w:r>
      <w:r>
        <w:rPr>
          <w:color w:val="000000"/>
        </w:rPr>
        <w:t xml:space="preserve">Dans cette étude, nous avons exploré l’expérience </w:t>
      </w:r>
      <w:proofErr w:type="spellStart"/>
      <w:r>
        <w:rPr>
          <w:color w:val="000000"/>
        </w:rPr>
        <w:t>utilisateur·trice</w:t>
      </w:r>
      <w:proofErr w:type="spellEnd"/>
      <w:r>
        <w:rPr>
          <w:color w:val="000000"/>
        </w:rPr>
        <w:t xml:space="preserve"> des retransmissions en direct de sports à rythme rapide, en mettant l’accent sur le hockey et le basketball. Ces retransmissions incluent généralement deux </w:t>
      </w:r>
      <w:proofErr w:type="spellStart"/>
      <w:r>
        <w:rPr>
          <w:color w:val="000000"/>
        </w:rPr>
        <w:t>commentateur·trice·s</w:t>
      </w:r>
      <w:proofErr w:type="spellEnd"/>
      <w:r>
        <w:rPr>
          <w:color w:val="000000"/>
        </w:rPr>
        <w:t xml:space="preserve"> hors écran qui commentent l’action en intégral (</w:t>
      </w:r>
      <w:proofErr w:type="spellStart"/>
      <w:r>
        <w:rPr>
          <w:i/>
          <w:iCs/>
          <w:color w:val="000000"/>
        </w:rPr>
        <w:t>play</w:t>
      </w:r>
      <w:proofErr w:type="spellEnd"/>
      <w:r>
        <w:rPr>
          <w:i/>
          <w:iCs/>
          <w:color w:val="000000"/>
        </w:rPr>
        <w:t>-by-</w:t>
      </w:r>
      <w:proofErr w:type="spellStart"/>
      <w:r>
        <w:rPr>
          <w:i/>
          <w:iCs/>
          <w:color w:val="000000"/>
        </w:rPr>
        <w:t>play</w:t>
      </w:r>
      <w:proofErr w:type="spellEnd"/>
      <w:r>
        <w:rPr>
          <w:color w:val="000000"/>
        </w:rPr>
        <w:t xml:space="preserve">) ainsi que des analyses supplémentaires entre les phases du match. En raison de la vitesse élevée de ces retransmissions, les sous-titres présentent souvent des difficultés en termes d’exactitude et de rapidité de transcription. Dans certains cas, comme lors des matchs de basketball, les sous-titres défilent à une vitesse effrénée, avec plus de 200 mots par minute (MPM), ce qui rend la lecture inconfortable et laisse peu de temps pour apprécier pleinement la partie en direct. Dans le cadre de ce projet, nous avons exploré plusieurs aspects de l’expérience </w:t>
      </w:r>
      <w:proofErr w:type="spellStart"/>
      <w:r>
        <w:rPr>
          <w:color w:val="000000"/>
        </w:rPr>
        <w:t>utilisateur·trice</w:t>
      </w:r>
      <w:proofErr w:type="spellEnd"/>
      <w:r>
        <w:rPr>
          <w:color w:val="000000"/>
        </w:rPr>
        <w:t xml:space="preserve"> lors du visionnement d’événements sportifs en direct à rythme rapide. Nous avons examiné la lisibilité des sous-titres, la satisfaction des </w:t>
      </w:r>
      <w:proofErr w:type="spellStart"/>
      <w:r>
        <w:rPr>
          <w:color w:val="000000"/>
        </w:rPr>
        <w:t>utilisateur·trice·s</w:t>
      </w:r>
      <w:proofErr w:type="spellEnd"/>
      <w:r>
        <w:rPr>
          <w:color w:val="000000"/>
        </w:rPr>
        <w:t xml:space="preserve"> ainsi que la qualité des sous-titres. De plus, nous avons analysé le niveau de compréhension possible, que ce soit à partir du format de sous-titres standard ou celui basé uniquement sur les commentaires.</w:t>
      </w:r>
      <w:r>
        <w:t xml:space="preserve"> </w:t>
      </w:r>
      <w:r>
        <w:rPr>
          <w:color w:val="000000"/>
        </w:rPr>
        <w:t xml:space="preserve">Cette étude présente les résultats d’une analyse du mouvement des yeux et de la focalisation des </w:t>
      </w:r>
      <w:proofErr w:type="spellStart"/>
      <w:r>
        <w:rPr>
          <w:color w:val="000000"/>
        </w:rPr>
        <w:t>utilisateur·trice·s</w:t>
      </w:r>
      <w:proofErr w:type="spellEnd"/>
      <w:r>
        <w:rPr>
          <w:color w:val="000000"/>
        </w:rPr>
        <w:t xml:space="preserve"> au moment de visionner des événements sportifs en direct avec des sous-titres.</w:t>
      </w:r>
    </w:p>
    <w:p w14:paraId="47133C79" w14:textId="77777777" w:rsidR="00071486" w:rsidRDefault="00000000">
      <w:pPr>
        <w:rPr>
          <w:shd w:val="clear" w:color="auto" w:fill="FF9900"/>
        </w:rPr>
      </w:pPr>
      <w:r>
        <w:t xml:space="preserve">Les résultats de cette étude confirment les conclusions précédentes, suggérant que les </w:t>
      </w:r>
      <w:proofErr w:type="spellStart"/>
      <w:r>
        <w:t>utilisateur·trice·s</w:t>
      </w:r>
      <w:proofErr w:type="spellEnd"/>
      <w:r>
        <w:t xml:space="preserve"> de sous-titres ne sont pas pleinement </w:t>
      </w:r>
      <w:proofErr w:type="spellStart"/>
      <w:r>
        <w:t>satisfait·e·s</w:t>
      </w:r>
      <w:proofErr w:type="spellEnd"/>
      <w:r>
        <w:t xml:space="preserve"> de la qualité des sous-titres disponibles aujourd’hui. Les événements sportifs à rythme rapide diffusés en direct présentent des difficultés supplémentaires, car le nombre de mots par minute requis pour un sous-titrage exact entraîne souvent une vitesse de lecture trop élevée, ce qui peut compliquer la compréhension. De plus, les retards, l’identification des </w:t>
      </w:r>
      <w:proofErr w:type="spellStart"/>
      <w:r>
        <w:t>intervenant·e·s</w:t>
      </w:r>
      <w:proofErr w:type="spellEnd"/>
      <w:r>
        <w:t xml:space="preserve"> et le placement des sous-titres peuvent distraire les </w:t>
      </w:r>
      <w:proofErr w:type="spellStart"/>
      <w:r>
        <w:t>spectateur·trice·s</w:t>
      </w:r>
      <w:proofErr w:type="spellEnd"/>
      <w:r>
        <w:t xml:space="preserve"> de l’action de la partie en cours. </w:t>
      </w:r>
    </w:p>
    <w:p w14:paraId="4803C95F" w14:textId="77777777" w:rsidR="00071486" w:rsidRDefault="00000000">
      <w:r>
        <w:t xml:space="preserve">Nous avons également exploré une nouvelle stratégie visant à réduire le nombre de mots par minute des sous-titres dans les retransmissions sportives, en n’affichant que les sous-titres basés sur les commentaires en direct. Les résultats ont indiqué qu’il n’y avait pas de différences significatives dans les préférences des </w:t>
      </w:r>
      <w:proofErr w:type="spellStart"/>
      <w:r>
        <w:t>téléspectateurs·trice·s</w:t>
      </w:r>
      <w:proofErr w:type="spellEnd"/>
      <w:r>
        <w:t xml:space="preserve"> entre les deux styles de sous-titrage. Nos résultats indiquent que le style de sous-titrage basé uniquement sur les commentaires en direct a été bien accueilli par </w:t>
      </w:r>
      <w:proofErr w:type="gramStart"/>
      <w:r>
        <w:t xml:space="preserve">les </w:t>
      </w:r>
      <w:proofErr w:type="spellStart"/>
      <w:r>
        <w:t>téléspectateur</w:t>
      </w:r>
      <w:proofErr w:type="gramEnd"/>
      <w:r>
        <w:t>·trice·s</w:t>
      </w:r>
      <w:proofErr w:type="spellEnd"/>
      <w:r>
        <w:t>, avec des répercussions positives sur leur satisfaction quant à la qualité, leur expérience de visionnement et leur compréhension de la partie/du déroulement des actions. Ces constatations sont d’autant plus significatives étant donné que les téléspectateur·trice·</w:t>
      </w:r>
      <w:proofErr w:type="spellStart"/>
      <w:r>
        <w:t>s étaient</w:t>
      </w:r>
      <w:proofErr w:type="spellEnd"/>
      <w:r>
        <w:t xml:space="preserve"> déjà </w:t>
      </w:r>
      <w:proofErr w:type="spellStart"/>
      <w:r>
        <w:t>familier·ère·s</w:t>
      </w:r>
      <w:proofErr w:type="spellEnd"/>
      <w:r>
        <w:t xml:space="preserve"> avec le format standard de sous-titrage intégral. Nous avons établi la nécessité d’une étude longitudinale permettant aux </w:t>
      </w:r>
      <w:proofErr w:type="spellStart"/>
      <w:r>
        <w:t>téléspectateur·trice·s</w:t>
      </w:r>
      <w:proofErr w:type="spellEnd"/>
      <w:r>
        <w:t xml:space="preserve"> de s’habituer progressivement aux sous-titres ne contenant que les commentaires des </w:t>
      </w:r>
      <w:proofErr w:type="spellStart"/>
      <w:r>
        <w:t>commentateur·trice·s</w:t>
      </w:r>
      <w:proofErr w:type="spellEnd"/>
      <w:r>
        <w:t>, afin de mieux comprendre leur incidence et l’expérience à long terme de ce format de sous-titrage.</w:t>
      </w:r>
    </w:p>
    <w:p w14:paraId="54510C11" w14:textId="77777777" w:rsidR="00071486" w:rsidRDefault="00000000">
      <w:r>
        <w:t xml:space="preserve">Par ailleurs, les résultats indiquent que la compréhension du déroulement du match par </w:t>
      </w:r>
      <w:proofErr w:type="gramStart"/>
      <w:r>
        <w:t xml:space="preserve">les </w:t>
      </w:r>
      <w:proofErr w:type="spellStart"/>
      <w:r>
        <w:t>participant</w:t>
      </w:r>
      <w:proofErr w:type="gramEnd"/>
      <w:r>
        <w:t>·e·s</w:t>
      </w:r>
      <w:proofErr w:type="spellEnd"/>
      <w:r>
        <w:t xml:space="preserve"> dépendait davantage de leur expérience sportive que de l’accès aux sous-titres. Cependant, certains éléments des sous-titres de type intégral étaient appréciés, tels que les noms des joueurs et une version plus condensée des sous-titres décrivant bien le déroulement du match. Bien que d’autres problèmes aient été soulevés par </w:t>
      </w:r>
      <w:proofErr w:type="gramStart"/>
      <w:r>
        <w:t xml:space="preserve">les </w:t>
      </w:r>
      <w:proofErr w:type="spellStart"/>
      <w:r>
        <w:t>participant</w:t>
      </w:r>
      <w:proofErr w:type="gramEnd"/>
      <w:r>
        <w:t>·e·s</w:t>
      </w:r>
      <w:proofErr w:type="spellEnd"/>
      <w:r>
        <w:t xml:space="preserve">, tels que le positionnement, la taille du texte, le délai de synchronisation et les fautes d’orthographe, la principale conclusion de cette recherche demeure que l’excès de sous-titres ne favorise pas </w:t>
      </w:r>
      <w:r>
        <w:lastRenderedPageBreak/>
        <w:t xml:space="preserve">une meilleure compréhension. La surabondance de sous-titres affichés à un rythme trop rapide complique le suivi du match, est souvent une distraction et empêche les </w:t>
      </w:r>
      <w:proofErr w:type="spellStart"/>
      <w:r>
        <w:t>téléspectateur·trice·s</w:t>
      </w:r>
      <w:proofErr w:type="spellEnd"/>
      <w:r>
        <w:t xml:space="preserve"> d’apprécier la partie. </w:t>
      </w:r>
    </w:p>
    <w:p w14:paraId="4448B7C0" w14:textId="77777777" w:rsidR="00071486" w:rsidRDefault="00000000">
      <w:pPr>
        <w:tabs>
          <w:tab w:val="left" w:pos="-1800"/>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r>
        <w:t xml:space="preserve">Dans la suite de ce rapport, nous présenterons en détail les résultats de notre étude, notamment les données de suivi oculaire, les scores de compréhension et les retours des </w:t>
      </w:r>
      <w:proofErr w:type="spellStart"/>
      <w:r>
        <w:t>utilisateur·trice·s</w:t>
      </w:r>
      <w:proofErr w:type="spellEnd"/>
      <w:r>
        <w:t xml:space="preserve"> concernant les deux formats de sous-titrage étudiés dans cette recherche. </w:t>
      </w:r>
    </w:p>
    <w:p w14:paraId="34BE16D8" w14:textId="77777777" w:rsidR="00071486" w:rsidRDefault="00000000">
      <w:pPr>
        <w:pBdr>
          <w:top w:val="nil"/>
          <w:left w:val="nil"/>
          <w:bottom w:val="nil"/>
          <w:right w:val="nil"/>
          <w:between w:val="nil"/>
        </w:pBdr>
        <w:spacing w:after="140" w:line="276" w:lineRule="auto"/>
        <w:rPr>
          <w:color w:val="000000"/>
        </w:rPr>
        <w:sectPr w:rsidR="00071486">
          <w:headerReference w:type="default" r:id="rId18"/>
          <w:footerReference w:type="default" r:id="rId19"/>
          <w:pgSz w:w="12240" w:h="15840"/>
          <w:pgMar w:top="1134" w:right="1041" w:bottom="1134" w:left="1134" w:header="709" w:footer="709" w:gutter="0"/>
          <w:cols w:space="720"/>
        </w:sectPr>
      </w:pPr>
      <w:r>
        <w:rPr>
          <w:color w:val="000000"/>
        </w:rPr>
        <w:br/>
      </w:r>
    </w:p>
    <w:p w14:paraId="7B7F2AFE" w14:textId="77777777" w:rsidR="00071486" w:rsidRDefault="00000000">
      <w:pPr>
        <w:pStyle w:val="Heading1"/>
        <w:spacing w:after="200"/>
        <w:ind w:left="0" w:firstLine="0"/>
        <w:rPr>
          <w:sz w:val="22"/>
          <w:szCs w:val="22"/>
        </w:rPr>
      </w:pPr>
      <w:bookmarkStart w:id="2" w:name="_Toc151722625"/>
      <w:r>
        <w:lastRenderedPageBreak/>
        <w:t>Présentation et contexte</w:t>
      </w:r>
      <w:bookmarkEnd w:id="2"/>
    </w:p>
    <w:p w14:paraId="58A139E6" w14:textId="77777777" w:rsidR="00071486" w:rsidRDefault="00000000">
      <w:bookmarkStart w:id="3" w:name="2et92p0"/>
      <w:bookmarkEnd w:id="3"/>
      <w:r>
        <w:rPr>
          <w:color w:val="000000"/>
        </w:rPr>
        <w:t xml:space="preserve">Les retransmissions en direct des sports à rythme rapide présentent naturellement de nombreux obstacles tant pour </w:t>
      </w:r>
      <w:proofErr w:type="gramStart"/>
      <w:r>
        <w:rPr>
          <w:color w:val="000000"/>
        </w:rPr>
        <w:t xml:space="preserve">les </w:t>
      </w:r>
      <w:proofErr w:type="spellStart"/>
      <w:r>
        <w:rPr>
          <w:color w:val="000000"/>
        </w:rPr>
        <w:t>sous-titreur</w:t>
      </w:r>
      <w:proofErr w:type="gramEnd"/>
      <w:r>
        <w:rPr>
          <w:color w:val="000000"/>
        </w:rPr>
        <w:t>·trice·s</w:t>
      </w:r>
      <w:proofErr w:type="spellEnd"/>
      <w:r>
        <w:rPr>
          <w:color w:val="000000"/>
        </w:rPr>
        <w:t xml:space="preserve"> que pour les </w:t>
      </w:r>
      <w:proofErr w:type="spellStart"/>
      <w:r>
        <w:rPr>
          <w:color w:val="000000"/>
        </w:rPr>
        <w:t>téléspectateur·trice·s</w:t>
      </w:r>
      <w:proofErr w:type="spellEnd"/>
      <w:r>
        <w:rPr>
          <w:color w:val="000000"/>
        </w:rPr>
        <w:t xml:space="preserve">, qui sont </w:t>
      </w:r>
      <w:proofErr w:type="spellStart"/>
      <w:r>
        <w:rPr>
          <w:color w:val="000000"/>
        </w:rPr>
        <w:t>confronté·e·s</w:t>
      </w:r>
      <w:proofErr w:type="spellEnd"/>
      <w:r>
        <w:rPr>
          <w:color w:val="000000"/>
        </w:rPr>
        <w:t xml:space="preserve"> à un débit de mots par minute extrêmement élevé lorsqu’ils/elles recherchent des sous-titres précis, que ce soit dans le format intégral ou dans le format ne contenant que les commentaires. Pour les personnes responsables du sous-titrage, suivre le rythme de parole rapide des </w:t>
      </w:r>
      <w:proofErr w:type="spellStart"/>
      <w:r>
        <w:rPr>
          <w:color w:val="000000"/>
        </w:rPr>
        <w:t>commentateur·trice·s</w:t>
      </w:r>
      <w:proofErr w:type="spellEnd"/>
      <w:r>
        <w:rPr>
          <w:color w:val="000000"/>
        </w:rPr>
        <w:t xml:space="preserve"> présente souvent des difficultés. Les échanges rapides entre les deux </w:t>
      </w:r>
      <w:proofErr w:type="spellStart"/>
      <w:r>
        <w:rPr>
          <w:color w:val="000000"/>
        </w:rPr>
        <w:t>commentateur·trice·s</w:t>
      </w:r>
      <w:proofErr w:type="spellEnd"/>
      <w:r>
        <w:rPr>
          <w:color w:val="000000"/>
        </w:rPr>
        <w:t xml:space="preserve"> peuvent entraîner des retards importants, de nombreuses fautes d’orthographe et d’autres erreurs qui </w:t>
      </w:r>
      <w:proofErr w:type="gramStart"/>
      <w:r>
        <w:rPr>
          <w:color w:val="000000"/>
        </w:rPr>
        <w:t>ont</w:t>
      </w:r>
      <w:proofErr w:type="gramEnd"/>
      <w:r>
        <w:rPr>
          <w:color w:val="000000"/>
        </w:rPr>
        <w:t xml:space="preserve"> des répercussions sur la qualité de l’expérience des </w:t>
      </w:r>
      <w:proofErr w:type="spellStart"/>
      <w:r>
        <w:rPr>
          <w:color w:val="000000"/>
        </w:rPr>
        <w:t>téléspectateur·trice·s</w:t>
      </w:r>
      <w:proofErr w:type="spellEnd"/>
      <w:r>
        <w:rPr>
          <w:color w:val="000000"/>
        </w:rPr>
        <w:t xml:space="preserve"> </w:t>
      </w:r>
      <w:proofErr w:type="spellStart"/>
      <w:r>
        <w:rPr>
          <w:color w:val="000000"/>
        </w:rPr>
        <w:t>sourd·e·s</w:t>
      </w:r>
      <w:proofErr w:type="spellEnd"/>
      <w:r>
        <w:rPr>
          <w:color w:val="000000"/>
        </w:rPr>
        <w:t xml:space="preserve"> et </w:t>
      </w:r>
      <w:proofErr w:type="spellStart"/>
      <w:r>
        <w:rPr>
          <w:color w:val="000000"/>
        </w:rPr>
        <w:t>malentendant·e·s</w:t>
      </w:r>
      <w:proofErr w:type="spellEnd"/>
      <w:r>
        <w:rPr>
          <w:color w:val="000000"/>
        </w:rPr>
        <w:t xml:space="preserve"> qui dépendent des sous-titres pour accéder au contenu verbal. Même sans erreurs ni retards, le débit peut être de plus de 200 mots par minute tout au long de la diffusion, ce qui rend non seulement le visionnement difficile pour </w:t>
      </w:r>
      <w:proofErr w:type="gramStart"/>
      <w:r>
        <w:rPr>
          <w:color w:val="000000"/>
        </w:rPr>
        <w:t xml:space="preserve">les </w:t>
      </w:r>
      <w:proofErr w:type="spellStart"/>
      <w:r>
        <w:rPr>
          <w:color w:val="000000"/>
        </w:rPr>
        <w:t>téléspectateur</w:t>
      </w:r>
      <w:proofErr w:type="gramEnd"/>
      <w:r>
        <w:rPr>
          <w:color w:val="000000"/>
        </w:rPr>
        <w:t>·trice·s</w:t>
      </w:r>
      <w:proofErr w:type="spellEnd"/>
      <w:r>
        <w:rPr>
          <w:color w:val="000000"/>
        </w:rPr>
        <w:t xml:space="preserve">, mais peut également constituer une distraction qui détourne leur attention de la partie et les maintient </w:t>
      </w:r>
      <w:proofErr w:type="spellStart"/>
      <w:r>
        <w:rPr>
          <w:color w:val="000000"/>
        </w:rPr>
        <w:t>concentré·e·s</w:t>
      </w:r>
      <w:proofErr w:type="spellEnd"/>
      <w:r>
        <w:rPr>
          <w:color w:val="000000"/>
        </w:rPr>
        <w:t xml:space="preserve"> sur les sous-titres. </w:t>
      </w:r>
    </w:p>
    <w:p w14:paraId="3C370E7D" w14:textId="77777777" w:rsidR="00071486" w:rsidRDefault="00000000">
      <w:pPr>
        <w:rPr>
          <w:color w:val="000000"/>
        </w:rPr>
      </w:pPr>
      <w:r>
        <w:rPr>
          <w:color w:val="000000"/>
        </w:rPr>
        <w:t xml:space="preserve">Cette étude se focalise sur l’expérience des </w:t>
      </w:r>
      <w:proofErr w:type="spellStart"/>
      <w:r>
        <w:rPr>
          <w:color w:val="000000"/>
        </w:rPr>
        <w:t>utilisateur·trice·s</w:t>
      </w:r>
      <w:proofErr w:type="spellEnd"/>
      <w:r>
        <w:rPr>
          <w:color w:val="000000"/>
        </w:rPr>
        <w:t xml:space="preserve"> concernant les sous-titres en direct lors des diffusions de sports à rythme rapide tels que le hockey et le basketball. Pour étudier l’expérience </w:t>
      </w:r>
      <w:proofErr w:type="spellStart"/>
      <w:r>
        <w:rPr>
          <w:color w:val="000000"/>
        </w:rPr>
        <w:t>utilisateur·trice</w:t>
      </w:r>
      <w:proofErr w:type="spellEnd"/>
      <w:r>
        <w:rPr>
          <w:color w:val="000000"/>
        </w:rPr>
        <w:t xml:space="preserve">, nous avons utilisé trois méthodes : </w:t>
      </w:r>
      <w:r>
        <w:rPr>
          <w:color w:val="000000"/>
        </w:rPr>
        <w:br/>
      </w:r>
    </w:p>
    <w:p w14:paraId="27339466" w14:textId="77777777" w:rsidR="00071486" w:rsidRDefault="00000000">
      <w:pPr>
        <w:numPr>
          <w:ilvl w:val="0"/>
          <w:numId w:val="1"/>
        </w:numPr>
        <w:spacing w:after="0"/>
        <w:rPr>
          <w:color w:val="000000"/>
        </w:rPr>
      </w:pPr>
      <w:r>
        <w:rPr>
          <w:color w:val="000000"/>
        </w:rPr>
        <w:t xml:space="preserve">Nous avons utilisé un système de suivi oculaire pour enregistrer les mouvements des yeux des </w:t>
      </w:r>
      <w:proofErr w:type="spellStart"/>
      <w:r>
        <w:rPr>
          <w:color w:val="000000"/>
        </w:rPr>
        <w:t>téléspectateur·trice·s</w:t>
      </w:r>
      <w:proofErr w:type="spellEnd"/>
      <w:r>
        <w:rPr>
          <w:color w:val="000000"/>
        </w:rPr>
        <w:t xml:space="preserve"> pendant qu’ils/elles regardent des séquences vidéo des matchs.</w:t>
      </w:r>
    </w:p>
    <w:p w14:paraId="00D0CF5F" w14:textId="77777777" w:rsidR="00071486" w:rsidRDefault="00000000">
      <w:pPr>
        <w:numPr>
          <w:ilvl w:val="0"/>
          <w:numId w:val="1"/>
        </w:numPr>
        <w:spacing w:after="0"/>
        <w:rPr>
          <w:color w:val="000000"/>
        </w:rPr>
      </w:pPr>
      <w:r>
        <w:rPr>
          <w:color w:val="000000"/>
        </w:rPr>
        <w:t xml:space="preserve">Nous avons recueilli des retours sur l’expérience des </w:t>
      </w:r>
      <w:proofErr w:type="spellStart"/>
      <w:r>
        <w:rPr>
          <w:color w:val="000000"/>
        </w:rPr>
        <w:t>utilisateur·trice·s</w:t>
      </w:r>
      <w:proofErr w:type="spellEnd"/>
      <w:r>
        <w:rPr>
          <w:color w:val="000000"/>
        </w:rPr>
        <w:t xml:space="preserve"> concernant les séquences sous-titrées visionnées à l’aide d’une série de questionnaires. </w:t>
      </w:r>
    </w:p>
    <w:p w14:paraId="65B01978" w14:textId="77777777" w:rsidR="00071486" w:rsidRDefault="00000000">
      <w:pPr>
        <w:numPr>
          <w:ilvl w:val="0"/>
          <w:numId w:val="1"/>
        </w:numPr>
        <w:rPr>
          <w:color w:val="000000"/>
        </w:rPr>
      </w:pPr>
      <w:r>
        <w:rPr>
          <w:color w:val="000000"/>
        </w:rPr>
        <w:t xml:space="preserve">Nous avons également mené des entrevues sous forme de conversations avec </w:t>
      </w:r>
      <w:proofErr w:type="gramStart"/>
      <w:r>
        <w:rPr>
          <w:color w:val="000000"/>
        </w:rPr>
        <w:t xml:space="preserve">les </w:t>
      </w:r>
      <w:proofErr w:type="spellStart"/>
      <w:r>
        <w:rPr>
          <w:color w:val="000000"/>
        </w:rPr>
        <w:t>participant</w:t>
      </w:r>
      <w:proofErr w:type="gramEnd"/>
      <w:r>
        <w:rPr>
          <w:color w:val="000000"/>
        </w:rPr>
        <w:t>·e·s</w:t>
      </w:r>
      <w:proofErr w:type="spellEnd"/>
      <w:r>
        <w:rPr>
          <w:color w:val="000000"/>
        </w:rPr>
        <w:t xml:space="preserve"> afin d’évaluer leur compréhension et la capacité des différents formats de sous-titres à fournir le plus de détails aux </w:t>
      </w:r>
      <w:proofErr w:type="spellStart"/>
      <w:r>
        <w:rPr>
          <w:color w:val="000000"/>
        </w:rPr>
        <w:t>téléspectateur·trice·s</w:t>
      </w:r>
      <w:proofErr w:type="spellEnd"/>
      <w:r>
        <w:rPr>
          <w:color w:val="000000"/>
        </w:rPr>
        <w:t xml:space="preserve">.  </w:t>
      </w:r>
    </w:p>
    <w:p w14:paraId="2FCE0602" w14:textId="77777777" w:rsidR="00071486" w:rsidRDefault="00000000">
      <w:r>
        <w:t xml:space="preserve">Chacune des séquences vidéo visionnées par </w:t>
      </w:r>
      <w:proofErr w:type="gramStart"/>
      <w:r>
        <w:t>les spectateur</w:t>
      </w:r>
      <w:proofErr w:type="gramEnd"/>
      <w:r>
        <w:t>·trice·</w:t>
      </w:r>
      <w:proofErr w:type="spellStart"/>
      <w:r>
        <w:t>s était</w:t>
      </w:r>
      <w:proofErr w:type="spellEnd"/>
      <w:r>
        <w:t xml:space="preserve"> sous-titrée de deux manières différentes : d’une part, avec les sous-titres au format intégral tels que diffusés, et d’autre part avec les sous-titres contenant uniquement les commentaires.</w:t>
      </w:r>
      <w:r>
        <w:rPr>
          <w:color w:val="000000"/>
        </w:rPr>
        <w:t xml:space="preserve">  </w:t>
      </w:r>
    </w:p>
    <w:p w14:paraId="0DC951DF" w14:textId="77777777" w:rsidR="00071486" w:rsidRDefault="00000000">
      <w:r>
        <w:t xml:space="preserve">Dans le cadre de l’étude, les </w:t>
      </w:r>
      <w:proofErr w:type="spellStart"/>
      <w:r>
        <w:t>participant·e·s</w:t>
      </w:r>
      <w:proofErr w:type="spellEnd"/>
      <w:r>
        <w:t xml:space="preserve"> ont eu la possibilité de choisir entre regarder du basketball ou du hockey. Chaque événement sportif a été divisé en deux séquences afin de présenter à chaque </w:t>
      </w:r>
      <w:proofErr w:type="spellStart"/>
      <w:r>
        <w:t>participant·e</w:t>
      </w:r>
      <w:proofErr w:type="spellEnd"/>
      <w:r>
        <w:t xml:space="preserve"> un exemple des deux types de sous-titres étudiés. </w:t>
      </w:r>
    </w:p>
    <w:p w14:paraId="7F569500" w14:textId="77777777" w:rsidR="00071486" w:rsidRDefault="00071486"/>
    <w:p w14:paraId="379F1BA9" w14:textId="77777777" w:rsidR="00071486" w:rsidRDefault="00000000">
      <w:pPr>
        <w:pStyle w:val="Heading1"/>
        <w:spacing w:after="200"/>
        <w:ind w:left="0" w:firstLine="0"/>
        <w:rPr>
          <w:b w:val="0"/>
          <w:color w:val="353744"/>
          <w:sz w:val="22"/>
          <w:szCs w:val="22"/>
        </w:rPr>
      </w:pPr>
      <w:bookmarkStart w:id="4" w:name="_Toc151722626"/>
      <w:r>
        <w:t>Objectif de ce projet</w:t>
      </w:r>
      <w:bookmarkEnd w:id="4"/>
    </w:p>
    <w:p w14:paraId="6DF4E334" w14:textId="77777777" w:rsidR="00071486" w:rsidRDefault="00000000">
      <w:pPr>
        <w:tabs>
          <w:tab w:val="left" w:pos="-1800"/>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bookmarkStart w:id="5" w:name="3dy6vkm"/>
      <w:bookmarkEnd w:id="5"/>
      <w:r>
        <w:t xml:space="preserve">Les objectifs de ce projet sont d’obtenir des informations sur les facteurs qui influencent l’expérience </w:t>
      </w:r>
      <w:proofErr w:type="spellStart"/>
      <w:r>
        <w:t>utilisateur·trice</w:t>
      </w:r>
      <w:proofErr w:type="spellEnd"/>
      <w:r>
        <w:t xml:space="preserve">, le plaisir et la compréhension des diffusions en direct de sports à rythme rapide. Un autre objectif de cette étude est d’explorer des stratégies visant à réduire le nombre de mots utilisés dans les sous-titres, sans affecter la capacité des </w:t>
      </w:r>
      <w:proofErr w:type="spellStart"/>
      <w:r>
        <w:t>téléspectateur·trices</w:t>
      </w:r>
      <w:proofErr w:type="spellEnd"/>
      <w:r>
        <w:t xml:space="preserve"> à comprendre le match. Ce rapport présente une description détaillée de l’étude.</w:t>
      </w:r>
    </w:p>
    <w:p w14:paraId="66BD46A9" w14:textId="77777777" w:rsidR="00071486" w:rsidRDefault="00000000">
      <w:pPr>
        <w:tabs>
          <w:tab w:val="left" w:pos="-1800"/>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r>
        <w:br w:type="page"/>
      </w:r>
    </w:p>
    <w:p w14:paraId="064CBC81" w14:textId="77777777" w:rsidR="00071486" w:rsidRDefault="00071486">
      <w:pPr>
        <w:tabs>
          <w:tab w:val="left" w:pos="-1800"/>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pPr>
    </w:p>
    <w:p w14:paraId="48E8650C" w14:textId="77777777" w:rsidR="00071486" w:rsidRDefault="00000000">
      <w:pPr>
        <w:pStyle w:val="Heading1"/>
        <w:spacing w:after="200"/>
        <w:ind w:left="0" w:firstLine="0"/>
      </w:pPr>
      <w:bookmarkStart w:id="6" w:name="_Toc151722627"/>
      <w:r>
        <w:t>Commanditaire du projet et comité de direction</w:t>
      </w:r>
      <w:bookmarkEnd w:id="6"/>
      <w:r>
        <w:t xml:space="preserve"> </w:t>
      </w:r>
    </w:p>
    <w:p w14:paraId="16796271" w14:textId="77777777" w:rsidR="00071486" w:rsidRDefault="00000000">
      <w:pPr>
        <w:rPr>
          <w:color w:val="004D9A"/>
          <w:sz w:val="32"/>
          <w:szCs w:val="32"/>
        </w:rPr>
      </w:pPr>
      <w:r>
        <w:t>Ce projet a été rendu possible grâce au parrainage du Fonds pour l’accessibilité de la radiodiffusion. La direction du projet a été assurée par un comité de direction composé des membres suivants :</w:t>
      </w:r>
    </w:p>
    <w:p w14:paraId="49C23DCD" w14:textId="77777777" w:rsidR="00071486" w:rsidRDefault="00000000">
      <w:pPr>
        <w:numPr>
          <w:ilvl w:val="0"/>
          <w:numId w:val="2"/>
        </w:numPr>
        <w:tabs>
          <w:tab w:val="left" w:pos="2305"/>
        </w:tabs>
        <w:spacing w:line="240" w:lineRule="auto"/>
        <w:rPr>
          <w:color w:val="004D9A"/>
          <w:sz w:val="32"/>
          <w:szCs w:val="32"/>
        </w:rPr>
      </w:pPr>
      <w:r>
        <w:rPr>
          <w:b/>
        </w:rPr>
        <w:t xml:space="preserve">Richard Belzile, </w:t>
      </w:r>
      <w:r>
        <w:t xml:space="preserve">chef de projet et futur président, représentant l’Association des Sourds du Canada (ASC) </w:t>
      </w:r>
    </w:p>
    <w:p w14:paraId="3BC9B684" w14:textId="77777777" w:rsidR="00071486" w:rsidRDefault="00000000">
      <w:pPr>
        <w:numPr>
          <w:ilvl w:val="0"/>
          <w:numId w:val="2"/>
        </w:numPr>
        <w:pBdr>
          <w:top w:val="nil"/>
          <w:left w:val="nil"/>
          <w:bottom w:val="nil"/>
          <w:right w:val="nil"/>
          <w:between w:val="nil"/>
        </w:pBdr>
        <w:spacing w:before="120" w:after="0" w:line="240" w:lineRule="auto"/>
        <w:rPr>
          <w:color w:val="004D9A"/>
          <w:sz w:val="32"/>
          <w:szCs w:val="32"/>
        </w:rPr>
      </w:pPr>
      <w:r>
        <w:rPr>
          <w:b/>
          <w:color w:val="262626"/>
        </w:rPr>
        <w:t>James Hardman</w:t>
      </w:r>
      <w:r>
        <w:rPr>
          <w:color w:val="262626"/>
        </w:rPr>
        <w:t xml:space="preserve">, représentant les Services canadiens de l’ouïe. </w:t>
      </w:r>
    </w:p>
    <w:p w14:paraId="446BC603" w14:textId="271CD98B" w:rsidR="00071486" w:rsidRDefault="00000000">
      <w:pPr>
        <w:numPr>
          <w:ilvl w:val="0"/>
          <w:numId w:val="2"/>
        </w:numPr>
        <w:pBdr>
          <w:top w:val="nil"/>
          <w:left w:val="nil"/>
          <w:bottom w:val="nil"/>
          <w:right w:val="nil"/>
          <w:between w:val="nil"/>
        </w:pBdr>
        <w:spacing w:before="120" w:after="0" w:line="240" w:lineRule="auto"/>
        <w:rPr>
          <w:color w:val="004D9A"/>
          <w:sz w:val="32"/>
          <w:szCs w:val="32"/>
        </w:rPr>
      </w:pPr>
      <w:r>
        <w:rPr>
          <w:b/>
          <w:color w:val="262626"/>
        </w:rPr>
        <w:t>Beverly Milligan</w:t>
      </w:r>
      <w:r>
        <w:rPr>
          <w:color w:val="262626"/>
        </w:rPr>
        <w:t>, représentant PAVO Digital</w:t>
      </w:r>
    </w:p>
    <w:p w14:paraId="759835AE" w14:textId="77777777" w:rsidR="00071486" w:rsidRDefault="00000000">
      <w:pPr>
        <w:numPr>
          <w:ilvl w:val="0"/>
          <w:numId w:val="2"/>
        </w:numPr>
        <w:pBdr>
          <w:top w:val="nil"/>
          <w:left w:val="nil"/>
          <w:bottom w:val="nil"/>
          <w:right w:val="nil"/>
          <w:between w:val="nil"/>
        </w:pBdr>
        <w:spacing w:before="120" w:after="0" w:line="240" w:lineRule="auto"/>
        <w:rPr>
          <w:color w:val="004D9A"/>
          <w:sz w:val="32"/>
          <w:szCs w:val="32"/>
        </w:rPr>
      </w:pPr>
      <w:r>
        <w:rPr>
          <w:b/>
          <w:color w:val="262626"/>
        </w:rPr>
        <w:t>Melina Nathanail</w:t>
      </w:r>
      <w:r>
        <w:rPr>
          <w:color w:val="262626"/>
        </w:rPr>
        <w:t>, représentant 3Play Media</w:t>
      </w:r>
    </w:p>
    <w:p w14:paraId="6B50572F" w14:textId="77777777" w:rsidR="00071486" w:rsidRDefault="00000000">
      <w:pPr>
        <w:numPr>
          <w:ilvl w:val="0"/>
          <w:numId w:val="2"/>
        </w:numPr>
        <w:tabs>
          <w:tab w:val="left" w:pos="2305"/>
        </w:tabs>
        <w:spacing w:line="240" w:lineRule="auto"/>
        <w:rPr>
          <w:color w:val="004D9A"/>
          <w:sz w:val="32"/>
          <w:szCs w:val="32"/>
        </w:rPr>
      </w:pPr>
      <w:r>
        <w:rPr>
          <w:b/>
        </w:rPr>
        <w:t>Anne Marie</w:t>
      </w:r>
      <w:r>
        <w:rPr>
          <w:b/>
          <w:color w:val="000000"/>
        </w:rPr>
        <w:t xml:space="preserve"> Langlois,</w:t>
      </w:r>
      <w:r>
        <w:rPr>
          <w:color w:val="000000"/>
        </w:rPr>
        <w:t xml:space="preserve"> représentant l’Association des malentendants canadiens (AMEC)</w:t>
      </w:r>
    </w:p>
    <w:p w14:paraId="042D9366" w14:textId="77777777" w:rsidR="00071486" w:rsidRDefault="00000000">
      <w:pPr>
        <w:numPr>
          <w:ilvl w:val="0"/>
          <w:numId w:val="2"/>
        </w:numPr>
        <w:tabs>
          <w:tab w:val="left" w:pos="2305"/>
        </w:tabs>
        <w:spacing w:line="240" w:lineRule="auto"/>
        <w:rPr>
          <w:color w:val="004D9A"/>
          <w:sz w:val="32"/>
          <w:szCs w:val="32"/>
        </w:rPr>
      </w:pPr>
      <w:r>
        <w:rPr>
          <w:b/>
          <w:color w:val="000000"/>
        </w:rPr>
        <w:t>Gavin Lumsden,</w:t>
      </w:r>
      <w:r>
        <w:rPr>
          <w:color w:val="000000"/>
        </w:rPr>
        <w:t xml:space="preserve"> représentant Rogers Media</w:t>
      </w:r>
    </w:p>
    <w:p w14:paraId="637C6421" w14:textId="77777777" w:rsidR="00071486" w:rsidRDefault="00000000">
      <w:pPr>
        <w:numPr>
          <w:ilvl w:val="0"/>
          <w:numId w:val="2"/>
        </w:numPr>
        <w:tabs>
          <w:tab w:val="left" w:pos="2305"/>
        </w:tabs>
        <w:spacing w:line="240" w:lineRule="auto"/>
        <w:rPr>
          <w:color w:val="004D9A"/>
          <w:sz w:val="32"/>
          <w:szCs w:val="32"/>
        </w:rPr>
      </w:pPr>
      <w:r>
        <w:rPr>
          <w:b/>
          <w:color w:val="000000"/>
        </w:rPr>
        <w:t xml:space="preserve">Brian </w:t>
      </w:r>
      <w:proofErr w:type="spellStart"/>
      <w:r>
        <w:rPr>
          <w:b/>
          <w:color w:val="000000"/>
        </w:rPr>
        <w:t>McGinley</w:t>
      </w:r>
      <w:proofErr w:type="spellEnd"/>
      <w:r>
        <w:rPr>
          <w:b/>
          <w:color w:val="000000"/>
        </w:rPr>
        <w:t xml:space="preserve">, </w:t>
      </w:r>
      <w:r>
        <w:rPr>
          <w:color w:val="000000"/>
        </w:rPr>
        <w:t>représentant Bell Media</w:t>
      </w:r>
    </w:p>
    <w:p w14:paraId="361A290B" w14:textId="77777777" w:rsidR="00071486" w:rsidRDefault="00000000">
      <w:pPr>
        <w:numPr>
          <w:ilvl w:val="0"/>
          <w:numId w:val="2"/>
        </w:numPr>
        <w:tabs>
          <w:tab w:val="left" w:pos="2305"/>
        </w:tabs>
        <w:spacing w:line="240" w:lineRule="auto"/>
        <w:rPr>
          <w:color w:val="004D9A"/>
          <w:sz w:val="32"/>
          <w:szCs w:val="32"/>
        </w:rPr>
      </w:pPr>
      <w:r>
        <w:rPr>
          <w:b/>
          <w:color w:val="000000"/>
        </w:rPr>
        <w:t>Neil Watson,</w:t>
      </w:r>
      <w:r>
        <w:rPr>
          <w:color w:val="000000"/>
        </w:rPr>
        <w:t xml:space="preserve"> représentant CBC</w:t>
      </w:r>
    </w:p>
    <w:p w14:paraId="24A569C8" w14:textId="77777777" w:rsidR="00071486" w:rsidRDefault="00071486">
      <w:pPr>
        <w:tabs>
          <w:tab w:val="left" w:pos="2305"/>
        </w:tabs>
        <w:spacing w:line="240" w:lineRule="auto"/>
      </w:pPr>
    </w:p>
    <w:p w14:paraId="78D7EEE0" w14:textId="77777777" w:rsidR="00071486" w:rsidRDefault="00000000">
      <w:pPr>
        <w:pStyle w:val="Heading1"/>
        <w:spacing w:after="200"/>
        <w:ind w:left="0" w:firstLine="0"/>
      </w:pPr>
      <w:bookmarkStart w:id="7" w:name="_Toc151722628"/>
      <w:r>
        <w:t>Description du projet</w:t>
      </w:r>
      <w:bookmarkEnd w:id="7"/>
    </w:p>
    <w:p w14:paraId="0EF403AF" w14:textId="77777777" w:rsidR="00071486" w:rsidRDefault="00000000">
      <w:bookmarkStart w:id="8" w:name="2s8eyo1"/>
      <w:bookmarkEnd w:id="8"/>
      <w:r>
        <w:rPr>
          <w:color w:val="000000"/>
        </w:rPr>
        <w:t xml:space="preserve">Cette étude vise à explorer l’expérience des </w:t>
      </w:r>
      <w:proofErr w:type="spellStart"/>
      <w:r>
        <w:rPr>
          <w:color w:val="000000"/>
        </w:rPr>
        <w:t>utilisateur·trice·s</w:t>
      </w:r>
      <w:proofErr w:type="spellEnd"/>
      <w:r>
        <w:rPr>
          <w:color w:val="000000"/>
        </w:rPr>
        <w:t xml:space="preserve"> avec les sous-titres codés lors des diffusions de sports à rythme rapide, ainsi que les effets potentiels de la réduction du nombre de mots par minute utilisés lors de ces événements. Pour ce faire, nous avons comparé les expériences des </w:t>
      </w:r>
      <w:proofErr w:type="spellStart"/>
      <w:r>
        <w:rPr>
          <w:color w:val="000000"/>
        </w:rPr>
        <w:t>utilisateur·trice·s</w:t>
      </w:r>
      <w:proofErr w:type="spellEnd"/>
      <w:r>
        <w:rPr>
          <w:color w:val="000000"/>
        </w:rPr>
        <w:t xml:space="preserve"> avec deux types de sous-titrage : le format standard de sous-titrage intégral, et le format transcrivant uniquement les commentaires. </w:t>
      </w:r>
    </w:p>
    <w:p w14:paraId="423E113D" w14:textId="77777777" w:rsidR="00071486" w:rsidRDefault="00000000">
      <w:r>
        <w:rPr>
          <w:color w:val="000000"/>
        </w:rPr>
        <w:t xml:space="preserve">L’objectif de cette étude était d’examiner comment les deux formats de sous-titrage ont pu influencer la qualité, la satisfaction et la compréhension des </w:t>
      </w:r>
      <w:proofErr w:type="spellStart"/>
      <w:r>
        <w:rPr>
          <w:color w:val="000000"/>
        </w:rPr>
        <w:t>téléspectateur·trice·s</w:t>
      </w:r>
      <w:proofErr w:type="spellEnd"/>
      <w:r>
        <w:rPr>
          <w:color w:val="000000"/>
        </w:rPr>
        <w:t xml:space="preserve">. Les scores de compréhension ont été définis en menant des entrevues de type conversationnel avec chaque </w:t>
      </w:r>
      <w:proofErr w:type="spellStart"/>
      <w:r>
        <w:rPr>
          <w:color w:val="000000"/>
        </w:rPr>
        <w:t>participant·e</w:t>
      </w:r>
      <w:proofErr w:type="spellEnd"/>
      <w:r>
        <w:rPr>
          <w:color w:val="000000"/>
        </w:rPr>
        <w:t xml:space="preserve"> après qu’ils/elles aient visionné les séquences vidéo. </w:t>
      </w:r>
    </w:p>
    <w:p w14:paraId="622821A2" w14:textId="77777777" w:rsidR="00071486" w:rsidRDefault="00000000">
      <w:pPr>
        <w:rPr>
          <w:color w:val="004D9A"/>
          <w:sz w:val="32"/>
          <w:szCs w:val="32"/>
        </w:rPr>
      </w:pPr>
      <w:r>
        <w:rPr>
          <w:color w:val="000000"/>
        </w:rPr>
        <w:t xml:space="preserve">La partie de l’étude axée sur le suivi oculaire nous a permis d’observer les comportements visuels des </w:t>
      </w:r>
      <w:proofErr w:type="spellStart"/>
      <w:r>
        <w:rPr>
          <w:color w:val="000000"/>
        </w:rPr>
        <w:t>utilisateur·trice·s</w:t>
      </w:r>
      <w:proofErr w:type="spellEnd"/>
      <w:r>
        <w:rPr>
          <w:color w:val="000000"/>
        </w:rPr>
        <w:t xml:space="preserve">, en analysant la durée pendant laquelle ils/elles ont fixé différentes zones de l’écran et en identifiant où leurs yeux se concentraient principalement pendant le match : soit sur les actions du match, soit sur les sous-titres. Nous avons ciblé deux groupes de personnes particulièrement familières avec les sous-titres codés pour les retransmissions sportives en direct : les personnes sourdes et malentendantes.  Nous avons recruté des </w:t>
      </w:r>
      <w:proofErr w:type="spellStart"/>
      <w:r>
        <w:rPr>
          <w:color w:val="000000"/>
        </w:rPr>
        <w:t>participant·e·s</w:t>
      </w:r>
      <w:proofErr w:type="spellEnd"/>
      <w:r>
        <w:rPr>
          <w:color w:val="000000"/>
        </w:rPr>
        <w:t xml:space="preserve"> qui étaient déjà </w:t>
      </w:r>
      <w:proofErr w:type="spellStart"/>
      <w:r>
        <w:rPr>
          <w:color w:val="000000"/>
        </w:rPr>
        <w:t>familier·ère·s</w:t>
      </w:r>
      <w:proofErr w:type="spellEnd"/>
      <w:r>
        <w:rPr>
          <w:color w:val="000000"/>
        </w:rPr>
        <w:t xml:space="preserve"> avec le visionnement de sports en direct avec des sous-titres codé, ainsi que des fans de retransmissions en direct de hockey ou de basketball.</w:t>
      </w:r>
      <w:r>
        <w:rPr>
          <w:rFonts w:ascii="Arial" w:hAnsi="Arial"/>
          <w:color w:val="000000"/>
        </w:rPr>
        <w:t xml:space="preserve"> </w:t>
      </w:r>
    </w:p>
    <w:p w14:paraId="389F20D7" w14:textId="77777777" w:rsidR="00071486" w:rsidRDefault="00000000">
      <w:pPr>
        <w:pStyle w:val="Heading2"/>
        <w:rPr>
          <w:sz w:val="32"/>
          <w:szCs w:val="32"/>
        </w:rPr>
      </w:pPr>
      <w:bookmarkStart w:id="9" w:name="_3302jx1mzdfw"/>
      <w:bookmarkStart w:id="10" w:name="_Toc151722629"/>
      <w:bookmarkEnd w:id="9"/>
      <w:r>
        <w:lastRenderedPageBreak/>
        <w:pict w14:anchorId="1AE7D916">
          <v:rect id="_x0000_i1025" style="width:0;height:1.5pt" o:hralign="center" o:hrstd="t" o:hr="t" fillcolor="#a0a0a0" stroked="f"/>
        </w:pict>
      </w:r>
      <w:bookmarkEnd w:id="10"/>
    </w:p>
    <w:p w14:paraId="4BBB9B8A" w14:textId="77777777" w:rsidR="00071486" w:rsidRDefault="00000000">
      <w:pPr>
        <w:pStyle w:val="Heading1"/>
        <w:spacing w:after="200"/>
        <w:ind w:left="0" w:firstLine="0"/>
      </w:pPr>
      <w:bookmarkStart w:id="11" w:name="hp0nicqz1330"/>
      <w:bookmarkStart w:id="12" w:name="_Toc151722630"/>
      <w:bookmarkEnd w:id="11"/>
      <w:r>
        <w:t>À propos de la recherche</w:t>
      </w:r>
      <w:bookmarkEnd w:id="12"/>
    </w:p>
    <w:p w14:paraId="774AE940" w14:textId="77777777" w:rsidR="00071486" w:rsidRDefault="00000000">
      <w:pPr>
        <w:pStyle w:val="Heading2"/>
        <w:rPr>
          <w:sz w:val="32"/>
          <w:szCs w:val="32"/>
        </w:rPr>
      </w:pPr>
      <w:bookmarkStart w:id="13" w:name="csxxrr2f09oe"/>
      <w:bookmarkStart w:id="14" w:name="_Toc151722631"/>
      <w:bookmarkEnd w:id="13"/>
      <w:r>
        <w:t>Conception de la recherche</w:t>
      </w:r>
      <w:bookmarkEnd w:id="14"/>
    </w:p>
    <w:p w14:paraId="0FE34094" w14:textId="77777777" w:rsidR="00071486" w:rsidRDefault="00000000">
      <w:pPr>
        <w:spacing w:before="200"/>
      </w:pPr>
      <w:r>
        <w:rPr>
          <w:color w:val="000000"/>
        </w:rPr>
        <w:t>Pour cette étude, nous avons adopté une approche semi-globale en combinant des données précises de suivi oculaire avec des données qualitatives relatives aux préférences et à la compréhension.</w:t>
      </w:r>
      <w:r>
        <w:t xml:space="preserve"> La conception de l’étude a obtenu l’approbation du Comité d’éthique de l’université </w:t>
      </w:r>
      <w:proofErr w:type="spellStart"/>
      <w:r>
        <w:t>Ryerson</w:t>
      </w:r>
      <w:proofErr w:type="spellEnd"/>
      <w:r>
        <w:t xml:space="preserve"> (actuellement Toronto </w:t>
      </w:r>
      <w:proofErr w:type="spellStart"/>
      <w:r>
        <w:t>Metropolitan</w:t>
      </w:r>
      <w:proofErr w:type="spellEnd"/>
      <w:r>
        <w:t xml:space="preserve"> </w:t>
      </w:r>
      <w:proofErr w:type="spellStart"/>
      <w:r>
        <w:t>University</w:t>
      </w:r>
      <w:proofErr w:type="spellEnd"/>
      <w:r>
        <w:t xml:space="preserve">). </w:t>
      </w:r>
      <w:r>
        <w:rPr>
          <w:color w:val="000000"/>
        </w:rPr>
        <w:t xml:space="preserve">Les participants ont visionné les séquences vidéo des événements sportifs et ont exprimé leur évaluation subjective de la qualité, de leur niveau d’engagement et de leur intérêt à travers des questionnaires. Par ailleurs, nous avons mené des entrevues de type conversationnel avec </w:t>
      </w:r>
      <w:proofErr w:type="gramStart"/>
      <w:r>
        <w:rPr>
          <w:color w:val="000000"/>
        </w:rPr>
        <w:t xml:space="preserve">les </w:t>
      </w:r>
      <w:proofErr w:type="spellStart"/>
      <w:r>
        <w:rPr>
          <w:color w:val="000000"/>
        </w:rPr>
        <w:t>participant</w:t>
      </w:r>
      <w:proofErr w:type="gramEnd"/>
      <w:r>
        <w:rPr>
          <w:color w:val="000000"/>
        </w:rPr>
        <w:t>·e·s</w:t>
      </w:r>
      <w:proofErr w:type="spellEnd"/>
      <w:r>
        <w:rPr>
          <w:color w:val="000000"/>
        </w:rPr>
        <w:t xml:space="preserve"> afin d’évaluer leur compréhension du match ainsi que leur compréhension des informations qui ne concernent pas directement le déroulement du match. Au cours de ces entrevues, nous avons abordé les événements clés survenus pendant le match (comme les pénalités et les buts) ainsi que les commentaires des </w:t>
      </w:r>
      <w:proofErr w:type="spellStart"/>
      <w:r>
        <w:rPr>
          <w:color w:val="000000"/>
        </w:rPr>
        <w:t>commentateur·trice·s</w:t>
      </w:r>
      <w:proofErr w:type="spellEnd"/>
      <w:r>
        <w:rPr>
          <w:color w:val="000000"/>
        </w:rPr>
        <w:t xml:space="preserve"> sur des éléments en dehors du match.</w:t>
      </w:r>
      <w:r>
        <w:t xml:space="preserve"> </w:t>
      </w:r>
      <w:r>
        <w:rPr>
          <w:color w:val="000000"/>
        </w:rPr>
        <w:t xml:space="preserve">L’étude comprenait deux séquences de matchs sous-titrés (hockey sur glace ou basketball), chaque séquence présentant aux </w:t>
      </w:r>
      <w:proofErr w:type="spellStart"/>
      <w:r>
        <w:rPr>
          <w:color w:val="000000"/>
        </w:rPr>
        <w:t>participant·e·s</w:t>
      </w:r>
      <w:proofErr w:type="spellEnd"/>
      <w:r>
        <w:rPr>
          <w:color w:val="000000"/>
        </w:rPr>
        <w:t xml:space="preserve"> un format de sous-titrage différent (le sous-titrage intégral et la transcription des commentaires). L’étude a duré environ une heure pour chaque </w:t>
      </w:r>
      <w:proofErr w:type="spellStart"/>
      <w:r>
        <w:rPr>
          <w:color w:val="000000"/>
        </w:rPr>
        <w:t>participant·e</w:t>
      </w:r>
      <w:proofErr w:type="spellEnd"/>
      <w:r>
        <w:rPr>
          <w:color w:val="000000"/>
        </w:rPr>
        <w:t xml:space="preserve"> et a été réalisée sur le campus de l’Université métropolitaine de Toronto dans l’un des laboratoires d’utilisabilité. Les </w:t>
      </w:r>
      <w:proofErr w:type="spellStart"/>
      <w:r>
        <w:rPr>
          <w:color w:val="000000"/>
        </w:rPr>
        <w:t>participant·e·s</w:t>
      </w:r>
      <w:proofErr w:type="spellEnd"/>
      <w:r>
        <w:rPr>
          <w:color w:val="000000"/>
        </w:rPr>
        <w:t xml:space="preserve"> ont reçu une rémunération de 60 $ pour leur participation ainsi que le remboursement de leurs frais de transport. </w:t>
      </w:r>
    </w:p>
    <w:p w14:paraId="1C3118DA" w14:textId="77777777" w:rsidR="00071486" w:rsidRDefault="00071486">
      <w:pPr>
        <w:pStyle w:val="Heading2"/>
        <w:rPr>
          <w:sz w:val="32"/>
          <w:szCs w:val="32"/>
        </w:rPr>
      </w:pPr>
    </w:p>
    <w:p w14:paraId="229327AF" w14:textId="77777777" w:rsidR="00071486" w:rsidRDefault="00000000">
      <w:pPr>
        <w:pStyle w:val="Heading2"/>
        <w:rPr>
          <w:sz w:val="32"/>
          <w:szCs w:val="32"/>
        </w:rPr>
      </w:pPr>
      <w:bookmarkStart w:id="15" w:name="9vtcz8yke9uc"/>
      <w:bookmarkStart w:id="16" w:name="_Toc151722632"/>
      <w:bookmarkEnd w:id="15"/>
      <w:r>
        <w:t>Déroulement de la recherche</w:t>
      </w:r>
      <w:bookmarkEnd w:id="16"/>
    </w:p>
    <w:p w14:paraId="026618CE" w14:textId="77777777" w:rsidR="00071486" w:rsidRDefault="00000000">
      <w:pPr>
        <w:spacing w:before="200"/>
      </w:pPr>
      <w:r>
        <w:t>Le laboratoire d’étude était aménagé avec les éléments suivants : </w:t>
      </w:r>
    </w:p>
    <w:p w14:paraId="21D23B1A" w14:textId="77777777" w:rsidR="00071486" w:rsidRDefault="00000000">
      <w:pPr>
        <w:numPr>
          <w:ilvl w:val="0"/>
          <w:numId w:val="3"/>
        </w:numPr>
        <w:ind w:hanging="283"/>
      </w:pPr>
      <w:r>
        <w:t xml:space="preserve">Un équipement de suivi oculaire </w:t>
      </w:r>
      <w:proofErr w:type="spellStart"/>
      <w:r>
        <w:t>Tobii</w:t>
      </w:r>
      <w:proofErr w:type="spellEnd"/>
      <w:r>
        <w:t xml:space="preserve"> connecté à un ordinateur PC</w:t>
      </w:r>
    </w:p>
    <w:p w14:paraId="19322AFE" w14:textId="77777777" w:rsidR="00071486" w:rsidRDefault="00000000">
      <w:pPr>
        <w:numPr>
          <w:ilvl w:val="0"/>
          <w:numId w:val="3"/>
        </w:numPr>
        <w:ind w:hanging="283"/>
      </w:pPr>
      <w:r>
        <w:t>Un écran d’ordinateur de 24 pouces utilisé pour présenter les séquences de match</w:t>
      </w:r>
    </w:p>
    <w:p w14:paraId="34A814E3" w14:textId="77777777" w:rsidR="00071486" w:rsidRDefault="00000000">
      <w:pPr>
        <w:numPr>
          <w:ilvl w:val="0"/>
          <w:numId w:val="3"/>
        </w:numPr>
        <w:ind w:hanging="283"/>
      </w:pPr>
      <w:r>
        <w:rPr>
          <w:color w:val="000000"/>
        </w:rPr>
        <w:t xml:space="preserve">Une caméra positionnée sur l’écran d’ordinateur pour enregistrer les </w:t>
      </w:r>
      <w:proofErr w:type="spellStart"/>
      <w:r>
        <w:rPr>
          <w:color w:val="000000"/>
        </w:rPr>
        <w:t>participant·e·s</w:t>
      </w:r>
      <w:proofErr w:type="spellEnd"/>
      <w:r>
        <w:rPr>
          <w:color w:val="000000"/>
        </w:rPr>
        <w:t xml:space="preserve"> pendant la séance</w:t>
      </w:r>
    </w:p>
    <w:p w14:paraId="2F360E4D" w14:textId="77777777" w:rsidR="00071486" w:rsidRDefault="00000000">
      <w:pPr>
        <w:numPr>
          <w:ilvl w:val="0"/>
          <w:numId w:val="3"/>
        </w:numPr>
        <w:ind w:hanging="283"/>
      </w:pPr>
      <w:r>
        <w:t>Une chaise confortable et ajustable</w:t>
      </w:r>
    </w:p>
    <w:p w14:paraId="47CF5E8A" w14:textId="77777777" w:rsidR="00071486" w:rsidRDefault="00000000">
      <w:pPr>
        <w:numPr>
          <w:ilvl w:val="0"/>
          <w:numId w:val="3"/>
        </w:numPr>
        <w:ind w:hanging="283"/>
      </w:pPr>
      <w:r>
        <w:t xml:space="preserve">Un lampadaire réglable permettant aux </w:t>
      </w:r>
      <w:proofErr w:type="spellStart"/>
      <w:r>
        <w:t>participant·e·s</w:t>
      </w:r>
      <w:proofErr w:type="spellEnd"/>
      <w:r>
        <w:t xml:space="preserve"> de voir clairement la séquence vidéo</w:t>
      </w:r>
    </w:p>
    <w:p w14:paraId="796AA14E" w14:textId="77777777" w:rsidR="00071486" w:rsidRDefault="00000000">
      <w:pPr>
        <w:numPr>
          <w:ilvl w:val="0"/>
          <w:numId w:val="3"/>
        </w:numPr>
        <w:ind w:hanging="283"/>
      </w:pPr>
      <w:r>
        <w:t>Une zone supplémentaire aménagée en salon où se déroulaient les discussions</w:t>
      </w:r>
    </w:p>
    <w:p w14:paraId="0ABB30FD" w14:textId="77777777" w:rsidR="00071486" w:rsidRDefault="00000000">
      <w:pPr>
        <w:numPr>
          <w:ilvl w:val="0"/>
          <w:numId w:val="3"/>
        </w:numPr>
        <w:ind w:hanging="283"/>
      </w:pPr>
      <w:r>
        <w:t>Des rafraîchissements, comprenant des boissons et des collations</w:t>
      </w:r>
    </w:p>
    <w:p w14:paraId="4A5312EE" w14:textId="77777777" w:rsidR="00071486" w:rsidRDefault="00071486"/>
    <w:p w14:paraId="700A1710" w14:textId="77777777" w:rsidR="00071486" w:rsidRDefault="00000000">
      <w:pPr>
        <w:pStyle w:val="Heading2"/>
        <w:rPr>
          <w:sz w:val="32"/>
          <w:szCs w:val="32"/>
        </w:rPr>
      </w:pPr>
      <w:bookmarkStart w:id="17" w:name="op0lcxzh4cvp"/>
      <w:bookmarkStart w:id="18" w:name="_Toc151722633"/>
      <w:bookmarkEnd w:id="17"/>
      <w:r>
        <w:t>Méthodologie de l’étude</w:t>
      </w:r>
      <w:bookmarkEnd w:id="18"/>
    </w:p>
    <w:p w14:paraId="4E23C283" w14:textId="77777777" w:rsidR="00071486" w:rsidRDefault="00000000">
      <w:pPr>
        <w:spacing w:before="200"/>
      </w:pPr>
      <w:r>
        <w:t xml:space="preserve">Les </w:t>
      </w:r>
      <w:proofErr w:type="spellStart"/>
      <w:r>
        <w:t>participant·e·s</w:t>
      </w:r>
      <w:proofErr w:type="spellEnd"/>
      <w:r>
        <w:t xml:space="preserve"> étaient </w:t>
      </w:r>
      <w:proofErr w:type="spellStart"/>
      <w:r>
        <w:t>invité·e·s</w:t>
      </w:r>
      <w:proofErr w:type="spellEnd"/>
      <w:r>
        <w:t xml:space="preserve"> à s’installer face à l’écran d’ordinateur équipé du matériel et du logiciel de suivi oculaire. Le dispositif de suivi oculaire a été réglé pour s’adapter aux yeux des </w:t>
      </w:r>
      <w:proofErr w:type="spellStart"/>
      <w:r>
        <w:t>participant·e</w:t>
      </w:r>
      <w:proofErr w:type="spellEnd"/>
      <w:r>
        <w:t xml:space="preserve">·, une fois ceux/celles-ci confortablement </w:t>
      </w:r>
      <w:proofErr w:type="spellStart"/>
      <w:r>
        <w:t>installé·e·s</w:t>
      </w:r>
      <w:proofErr w:type="spellEnd"/>
      <w:r>
        <w:t xml:space="preserve">. </w:t>
      </w:r>
      <w:r>
        <w:rPr>
          <w:color w:val="000000"/>
        </w:rPr>
        <w:t xml:space="preserve">Une caméra a été fixée à l’écran de l’ordinateur pour enregistrer les </w:t>
      </w:r>
      <w:proofErr w:type="spellStart"/>
      <w:r>
        <w:rPr>
          <w:color w:val="000000"/>
        </w:rPr>
        <w:t>participant·e·s</w:t>
      </w:r>
      <w:proofErr w:type="spellEnd"/>
      <w:r>
        <w:rPr>
          <w:color w:val="000000"/>
        </w:rPr>
        <w:t xml:space="preserve"> pendant les séances. </w:t>
      </w:r>
      <w:r>
        <w:t xml:space="preserve">Les </w:t>
      </w:r>
      <w:proofErr w:type="spellStart"/>
      <w:r>
        <w:t>participant·e·s</w:t>
      </w:r>
      <w:proofErr w:type="spellEnd"/>
      <w:r>
        <w:t xml:space="preserve"> étaient </w:t>
      </w:r>
      <w:proofErr w:type="spellStart"/>
      <w:r>
        <w:t>invité·e·s</w:t>
      </w:r>
      <w:proofErr w:type="spellEnd"/>
      <w:r>
        <w:t xml:space="preserve"> à visionner deux séquences vidéo d’un même match de hockey sur glace/basketball, l’un avec des sous-titres de type intégral, et l’autre avec la </w:t>
      </w:r>
      <w:r>
        <w:lastRenderedPageBreak/>
        <w:t xml:space="preserve">transcription des commentaires. Le format de sous-titrage était ordonné de manière aléatoire. </w:t>
      </w:r>
      <w:r>
        <w:rPr>
          <w:color w:val="000000"/>
        </w:rPr>
        <w:t xml:space="preserve">Entre chaque vidéo, les </w:t>
      </w:r>
      <w:proofErr w:type="spellStart"/>
      <w:r>
        <w:rPr>
          <w:color w:val="000000"/>
        </w:rPr>
        <w:t>participant·e·s</w:t>
      </w:r>
      <w:proofErr w:type="spellEnd"/>
      <w:r>
        <w:rPr>
          <w:color w:val="000000"/>
        </w:rPr>
        <w:t xml:space="preserve"> ont été </w:t>
      </w:r>
      <w:proofErr w:type="spellStart"/>
      <w:r>
        <w:rPr>
          <w:color w:val="000000"/>
        </w:rPr>
        <w:t>invité·e·s</w:t>
      </w:r>
      <w:proofErr w:type="spellEnd"/>
      <w:r>
        <w:rPr>
          <w:color w:val="000000"/>
        </w:rPr>
        <w:t xml:space="preserve"> à remplir un questionnaire de mi-étude afin de partager leur expérience avec les deux formats de sous-titres. Après avoir visionné la deuxième vidéo, les </w:t>
      </w:r>
      <w:proofErr w:type="spellStart"/>
      <w:r>
        <w:rPr>
          <w:color w:val="000000"/>
        </w:rPr>
        <w:t>participant·e·s</w:t>
      </w:r>
      <w:proofErr w:type="spellEnd"/>
      <w:r>
        <w:rPr>
          <w:color w:val="000000"/>
        </w:rPr>
        <w:t xml:space="preserve"> ont rempli le questionnaire de fin d’étude et ont été </w:t>
      </w:r>
      <w:proofErr w:type="spellStart"/>
      <w:r>
        <w:rPr>
          <w:color w:val="000000"/>
        </w:rPr>
        <w:t>dirigé·e·s</w:t>
      </w:r>
      <w:proofErr w:type="spellEnd"/>
      <w:r>
        <w:rPr>
          <w:color w:val="000000"/>
        </w:rPr>
        <w:t xml:space="preserve"> vers l’espace détente pour profiter d’une collation et d’une boisson rafraîchissante avant de débuter l’entrevue finale. L’entrevue de fin d’étude a été conduite dans un cadre informel pour encourager les échanges décontractés, avec pour objectif de simuler les discussions entre </w:t>
      </w:r>
      <w:proofErr w:type="spellStart"/>
      <w:r>
        <w:rPr>
          <w:color w:val="000000"/>
        </w:rPr>
        <w:t>passionné·e·s</w:t>
      </w:r>
      <w:proofErr w:type="spellEnd"/>
      <w:r>
        <w:rPr>
          <w:color w:val="000000"/>
        </w:rPr>
        <w:t xml:space="preserve"> de sport après avoir regardé un match.</w:t>
      </w:r>
      <w:r>
        <w:rPr>
          <w:color w:val="004D9A"/>
        </w:rPr>
        <w:t xml:space="preserve"> </w:t>
      </w:r>
      <w:r>
        <w:rPr>
          <w:color w:val="000000"/>
        </w:rPr>
        <w:t xml:space="preserve">Une fois les entrevues de fin d’étude achevées, nous avons généreusement rémunéré les </w:t>
      </w:r>
      <w:proofErr w:type="spellStart"/>
      <w:r>
        <w:rPr>
          <w:color w:val="000000"/>
        </w:rPr>
        <w:t>participant·e·s</w:t>
      </w:r>
      <w:proofErr w:type="spellEnd"/>
      <w:r>
        <w:rPr>
          <w:color w:val="000000"/>
        </w:rPr>
        <w:t xml:space="preserve"> et exprimé notre gratitude pour leur précieuse contribution à la recherche.</w:t>
      </w:r>
    </w:p>
    <w:p w14:paraId="4CEA059D" w14:textId="77777777" w:rsidR="00071486" w:rsidRDefault="00071486"/>
    <w:p w14:paraId="48E632B3" w14:textId="77777777" w:rsidR="00071486" w:rsidRDefault="00000000">
      <w:pPr>
        <w:pStyle w:val="Heading2"/>
        <w:rPr>
          <w:sz w:val="32"/>
          <w:szCs w:val="32"/>
        </w:rPr>
      </w:pPr>
      <w:bookmarkStart w:id="19" w:name="n6uzito6lhql"/>
      <w:bookmarkStart w:id="20" w:name="_Toc151722634"/>
      <w:bookmarkEnd w:id="19"/>
      <w:r>
        <w:t>Échange sur la compréhension</w:t>
      </w:r>
      <w:bookmarkEnd w:id="20"/>
    </w:p>
    <w:p w14:paraId="4233CEA0" w14:textId="77777777" w:rsidR="00071486" w:rsidRDefault="00000000">
      <w:pPr>
        <w:pBdr>
          <w:top w:val="nil"/>
          <w:left w:val="nil"/>
          <w:bottom w:val="nil"/>
          <w:right w:val="nil"/>
          <w:between w:val="nil"/>
        </w:pBdr>
        <w:spacing w:before="200"/>
      </w:pPr>
      <w:r>
        <w:t xml:space="preserve">Afin d’évaluer la capacité des </w:t>
      </w:r>
      <w:proofErr w:type="spellStart"/>
      <w:r>
        <w:t>participant·e·s</w:t>
      </w:r>
      <w:proofErr w:type="spellEnd"/>
      <w:r>
        <w:t xml:space="preserve"> à comprendre ce qui se passait dans le match, nous avons opté pour des entretiens informels, favorisant les échanges et les discussions sur des moments spécifiques du match. L’objectif était de déterminer si le sous-titrage ou les actions de la partie jouaient un rôle primordial dans la compréhension du déroulement du match. </w:t>
      </w:r>
    </w:p>
    <w:p w14:paraId="588AA28C" w14:textId="7F57147B" w:rsidR="00071486" w:rsidRDefault="00000000">
      <w:pPr>
        <w:pStyle w:val="Heading2"/>
        <w:rPr>
          <w:sz w:val="32"/>
          <w:szCs w:val="32"/>
        </w:rPr>
      </w:pPr>
      <w:bookmarkStart w:id="21" w:name="1ksv4uv"/>
      <w:bookmarkStart w:id="22" w:name="_Toc151722635"/>
      <w:bookmarkEnd w:id="21"/>
      <w:r>
        <w:t xml:space="preserve">Points à prendre en compte pour </w:t>
      </w:r>
      <w:proofErr w:type="gramStart"/>
      <w:r>
        <w:t xml:space="preserve">les </w:t>
      </w:r>
      <w:proofErr w:type="spellStart"/>
      <w:r>
        <w:t>participant</w:t>
      </w:r>
      <w:proofErr w:type="gramEnd"/>
      <w:r>
        <w:t>·e·s</w:t>
      </w:r>
      <w:proofErr w:type="spellEnd"/>
      <w:r>
        <w:t xml:space="preserve"> </w:t>
      </w:r>
      <w:proofErr w:type="spellStart"/>
      <w:r>
        <w:t>sourd·e·s</w:t>
      </w:r>
      <w:proofErr w:type="spellEnd"/>
      <w:r>
        <w:t xml:space="preserve"> et </w:t>
      </w:r>
      <w:proofErr w:type="spellStart"/>
      <w:r>
        <w:t>malentendant·e·s</w:t>
      </w:r>
      <w:bookmarkEnd w:id="22"/>
      <w:proofErr w:type="spellEnd"/>
    </w:p>
    <w:p w14:paraId="598AA734" w14:textId="6670B10F" w:rsidR="00071486" w:rsidRDefault="00000000">
      <w:pPr>
        <w:pBdr>
          <w:top w:val="nil"/>
          <w:left w:val="nil"/>
          <w:bottom w:val="nil"/>
          <w:right w:val="nil"/>
          <w:between w:val="nil"/>
        </w:pBdr>
        <w:spacing w:before="200"/>
      </w:pPr>
      <w:r>
        <w:t xml:space="preserve">Afin de faciliter la communication avec le/la </w:t>
      </w:r>
      <w:proofErr w:type="spellStart"/>
      <w:r>
        <w:t>chercheur·euse</w:t>
      </w:r>
      <w:proofErr w:type="spellEnd"/>
      <w:r>
        <w:t xml:space="preserve">, chaque </w:t>
      </w:r>
      <w:proofErr w:type="spellStart"/>
      <w:r>
        <w:t>participant·e</w:t>
      </w:r>
      <w:proofErr w:type="spellEnd"/>
      <w:r>
        <w:t xml:space="preserve"> avait la possibilité de bénéficier du service de traduction en temps réel des communications ou de la présence d’</w:t>
      </w:r>
      <w:proofErr w:type="spellStart"/>
      <w:r>
        <w:t>un·e</w:t>
      </w:r>
      <w:proofErr w:type="spellEnd"/>
      <w:r>
        <w:t xml:space="preserve"> interprète en langue des signes pendant l’étude. L’équipe de recherche était composée à la fois de personnes entendantes et de personnes sourdes. Le volume des matchs a été réduit à un niveau inaudible afin que l’équipe puisse s’assurer que les </w:t>
      </w:r>
      <w:proofErr w:type="spellStart"/>
      <w:r>
        <w:t>participant·e·s</w:t>
      </w:r>
      <w:proofErr w:type="spellEnd"/>
      <w:r>
        <w:t xml:space="preserve"> se fiaient aux sous-titres pour suivre les actions du match et les commentaires.</w:t>
      </w:r>
    </w:p>
    <w:p w14:paraId="373D67A2" w14:textId="77777777" w:rsidR="00071486" w:rsidRDefault="00071486">
      <w:pPr>
        <w:pStyle w:val="Heading2"/>
      </w:pPr>
    </w:p>
    <w:p w14:paraId="49BD815A" w14:textId="77777777" w:rsidR="00071486" w:rsidRDefault="00000000">
      <w:pPr>
        <w:pStyle w:val="Heading2"/>
        <w:rPr>
          <w:sz w:val="32"/>
          <w:szCs w:val="32"/>
        </w:rPr>
      </w:pPr>
      <w:bookmarkStart w:id="23" w:name="mxtroi8fwkv5"/>
      <w:bookmarkStart w:id="24" w:name="_Toc151722636"/>
      <w:bookmarkEnd w:id="23"/>
      <w:r>
        <w:t>Données démographiques</w:t>
      </w:r>
      <w:bookmarkEnd w:id="24"/>
    </w:p>
    <w:p w14:paraId="061828D3" w14:textId="77777777" w:rsidR="00071486" w:rsidRDefault="00000000">
      <w:pPr>
        <w:pStyle w:val="Heading5"/>
        <w:rPr>
          <w:b/>
        </w:rPr>
      </w:pPr>
      <w:bookmarkStart w:id="25" w:name="_1ncg6ft7945j"/>
      <w:bookmarkStart w:id="26" w:name="_Toc151722637"/>
      <w:bookmarkEnd w:id="25"/>
      <w:r>
        <w:rPr>
          <w:b/>
        </w:rPr>
        <w:t xml:space="preserve">Tableau 1 : Résumé du profil des </w:t>
      </w:r>
      <w:proofErr w:type="spellStart"/>
      <w:r>
        <w:rPr>
          <w:b/>
        </w:rPr>
        <w:t>participant·e·s</w:t>
      </w:r>
      <w:proofErr w:type="spellEnd"/>
      <w:r>
        <w:rPr>
          <w:b/>
        </w:rPr>
        <w:t xml:space="preserve"> dans les différents groupes.</w:t>
      </w:r>
      <w:bookmarkEnd w:id="26"/>
    </w:p>
    <w:tbl>
      <w:tblPr>
        <w:tblStyle w:val="a"/>
        <w:tblW w:w="100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2250"/>
        <w:gridCol w:w="1665"/>
        <w:gridCol w:w="1665"/>
        <w:gridCol w:w="1665"/>
      </w:tblGrid>
      <w:tr w:rsidR="00071486" w14:paraId="1FA50A8A" w14:textId="77777777">
        <w:trPr>
          <w:jc w:val="center"/>
        </w:trPr>
        <w:tc>
          <w:tcPr>
            <w:tcW w:w="2775" w:type="dxa"/>
            <w:tcBorders>
              <w:right w:val="single" w:sz="8" w:space="0" w:color="FFFFFF"/>
            </w:tcBorders>
            <w:shd w:val="clear" w:color="auto" w:fill="auto"/>
            <w:tcMar>
              <w:top w:w="28" w:type="dxa"/>
              <w:left w:w="28" w:type="dxa"/>
              <w:bottom w:w="28" w:type="dxa"/>
              <w:right w:w="28" w:type="dxa"/>
            </w:tcMar>
            <w:vAlign w:val="center"/>
          </w:tcPr>
          <w:p w14:paraId="67E2D2EF" w14:textId="77777777" w:rsidR="00071486" w:rsidRDefault="00071486">
            <w:pPr>
              <w:widowControl w:val="0"/>
              <w:pBdr>
                <w:top w:val="nil"/>
                <w:left w:val="nil"/>
                <w:bottom w:val="nil"/>
                <w:right w:val="nil"/>
                <w:between w:val="nil"/>
              </w:pBdr>
              <w:spacing w:after="0" w:line="240" w:lineRule="auto"/>
              <w:rPr>
                <w:b/>
              </w:rPr>
            </w:pPr>
          </w:p>
        </w:tc>
        <w:tc>
          <w:tcPr>
            <w:tcW w:w="2250" w:type="dxa"/>
            <w:tcBorders>
              <w:left w:val="single" w:sz="8" w:space="0" w:color="FFFFFF"/>
              <w:right w:val="single" w:sz="8" w:space="0" w:color="FFFFFF"/>
            </w:tcBorders>
            <w:shd w:val="clear" w:color="auto" w:fill="auto"/>
            <w:tcMar>
              <w:top w:w="28" w:type="dxa"/>
              <w:left w:w="28" w:type="dxa"/>
              <w:bottom w:w="28" w:type="dxa"/>
              <w:right w:w="28" w:type="dxa"/>
            </w:tcMar>
            <w:vAlign w:val="center"/>
          </w:tcPr>
          <w:p w14:paraId="03C30214" w14:textId="77777777" w:rsidR="00071486" w:rsidRDefault="00000000">
            <w:pPr>
              <w:widowControl w:val="0"/>
              <w:pBdr>
                <w:top w:val="nil"/>
                <w:left w:val="nil"/>
                <w:bottom w:val="nil"/>
                <w:right w:val="nil"/>
                <w:between w:val="nil"/>
              </w:pBdr>
              <w:spacing w:after="0" w:line="240" w:lineRule="auto"/>
              <w:jc w:val="center"/>
              <w:rPr>
                <w:b/>
              </w:rPr>
            </w:pPr>
            <w:r>
              <w:rPr>
                <w:b/>
              </w:rPr>
              <w:t>Troubles de l’audition</w:t>
            </w:r>
          </w:p>
        </w:tc>
        <w:tc>
          <w:tcPr>
            <w:tcW w:w="1665" w:type="dxa"/>
            <w:tcBorders>
              <w:left w:val="single" w:sz="8" w:space="0" w:color="FFFFFF"/>
              <w:right w:val="single" w:sz="8" w:space="0" w:color="FFFFFF"/>
            </w:tcBorders>
            <w:shd w:val="clear" w:color="auto" w:fill="auto"/>
            <w:tcMar>
              <w:top w:w="28" w:type="dxa"/>
              <w:left w:w="28" w:type="dxa"/>
              <w:bottom w:w="28" w:type="dxa"/>
              <w:right w:w="28" w:type="dxa"/>
            </w:tcMar>
            <w:vAlign w:val="center"/>
          </w:tcPr>
          <w:p w14:paraId="6B337847" w14:textId="77777777" w:rsidR="00071486" w:rsidRDefault="00000000">
            <w:pPr>
              <w:widowControl w:val="0"/>
              <w:pBdr>
                <w:top w:val="nil"/>
                <w:left w:val="nil"/>
                <w:bottom w:val="nil"/>
                <w:right w:val="nil"/>
                <w:between w:val="nil"/>
              </w:pBdr>
              <w:spacing w:after="0" w:line="240" w:lineRule="auto"/>
              <w:jc w:val="center"/>
              <w:rPr>
                <w:b/>
              </w:rPr>
            </w:pPr>
            <w:r>
              <w:rPr>
                <w:b/>
              </w:rPr>
              <w:t>Nombre :</w:t>
            </w:r>
          </w:p>
        </w:tc>
        <w:tc>
          <w:tcPr>
            <w:tcW w:w="1665" w:type="dxa"/>
            <w:tcBorders>
              <w:left w:val="single" w:sz="8" w:space="0" w:color="FFFFFF"/>
              <w:right w:val="single" w:sz="8" w:space="0" w:color="FFFFFF"/>
            </w:tcBorders>
            <w:shd w:val="clear" w:color="auto" w:fill="auto"/>
            <w:tcMar>
              <w:top w:w="28" w:type="dxa"/>
              <w:left w:w="28" w:type="dxa"/>
              <w:bottom w:w="28" w:type="dxa"/>
              <w:right w:w="28" w:type="dxa"/>
            </w:tcMar>
            <w:vAlign w:val="center"/>
          </w:tcPr>
          <w:p w14:paraId="309A32C8" w14:textId="77777777" w:rsidR="00071486" w:rsidRDefault="00000000">
            <w:pPr>
              <w:widowControl w:val="0"/>
              <w:pBdr>
                <w:top w:val="nil"/>
                <w:left w:val="nil"/>
                <w:bottom w:val="nil"/>
                <w:right w:val="nil"/>
                <w:between w:val="nil"/>
              </w:pBdr>
              <w:spacing w:after="0" w:line="240" w:lineRule="auto"/>
              <w:jc w:val="center"/>
              <w:rPr>
                <w:b/>
              </w:rPr>
            </w:pPr>
            <w:r>
              <w:rPr>
                <w:b/>
              </w:rPr>
              <w:t>Total :</w:t>
            </w:r>
          </w:p>
        </w:tc>
        <w:tc>
          <w:tcPr>
            <w:tcW w:w="1665" w:type="dxa"/>
            <w:tcBorders>
              <w:left w:val="single" w:sz="8" w:space="0" w:color="FFFFFF"/>
            </w:tcBorders>
            <w:shd w:val="clear" w:color="auto" w:fill="auto"/>
            <w:tcMar>
              <w:top w:w="28" w:type="dxa"/>
              <w:left w:w="28" w:type="dxa"/>
              <w:bottom w:w="28" w:type="dxa"/>
              <w:right w:w="28" w:type="dxa"/>
            </w:tcMar>
            <w:vAlign w:val="center"/>
          </w:tcPr>
          <w:p w14:paraId="269AE738" w14:textId="77777777" w:rsidR="00071486" w:rsidRDefault="00000000">
            <w:pPr>
              <w:widowControl w:val="0"/>
              <w:spacing w:after="0" w:line="240" w:lineRule="auto"/>
              <w:jc w:val="center"/>
              <w:rPr>
                <w:b/>
              </w:rPr>
            </w:pPr>
            <w:r>
              <w:rPr>
                <w:b/>
              </w:rPr>
              <w:t xml:space="preserve">Nombre total de </w:t>
            </w:r>
            <w:proofErr w:type="spellStart"/>
            <w:r>
              <w:rPr>
                <w:b/>
              </w:rPr>
              <w:t>participant·e·s</w:t>
            </w:r>
            <w:proofErr w:type="spellEnd"/>
            <w:r>
              <w:rPr>
                <w:b/>
              </w:rPr>
              <w:t> :</w:t>
            </w:r>
          </w:p>
        </w:tc>
      </w:tr>
      <w:tr w:rsidR="00071486" w14:paraId="29AE3EBD" w14:textId="77777777">
        <w:trPr>
          <w:trHeight w:val="420"/>
          <w:jc w:val="center"/>
        </w:trPr>
        <w:tc>
          <w:tcPr>
            <w:tcW w:w="2775" w:type="dxa"/>
            <w:vMerge w:val="restart"/>
            <w:tcBorders>
              <w:right w:val="single" w:sz="8" w:space="0" w:color="FFFFFF"/>
            </w:tcBorders>
            <w:shd w:val="clear" w:color="auto" w:fill="auto"/>
            <w:tcMar>
              <w:top w:w="28" w:type="dxa"/>
              <w:left w:w="28" w:type="dxa"/>
              <w:bottom w:w="28" w:type="dxa"/>
              <w:right w:w="28" w:type="dxa"/>
            </w:tcMar>
            <w:vAlign w:val="center"/>
          </w:tcPr>
          <w:p w14:paraId="199216A5" w14:textId="77777777" w:rsidR="00071486" w:rsidRDefault="00000000">
            <w:pPr>
              <w:widowControl w:val="0"/>
              <w:pBdr>
                <w:top w:val="nil"/>
                <w:left w:val="nil"/>
                <w:bottom w:val="nil"/>
                <w:right w:val="nil"/>
                <w:between w:val="nil"/>
              </w:pBdr>
              <w:spacing w:after="0" w:line="240" w:lineRule="auto"/>
              <w:rPr>
                <w:b/>
              </w:rPr>
            </w:pPr>
            <w:r>
              <w:rPr>
                <w:b/>
              </w:rPr>
              <w:t xml:space="preserve"> Basketball :</w:t>
            </w:r>
          </w:p>
        </w:tc>
        <w:tc>
          <w:tcPr>
            <w:tcW w:w="2250" w:type="dxa"/>
            <w:tcBorders>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147B687F" w14:textId="77777777" w:rsidR="00071486" w:rsidRDefault="00000000">
            <w:pPr>
              <w:widowControl w:val="0"/>
              <w:pBdr>
                <w:top w:val="nil"/>
                <w:left w:val="nil"/>
                <w:bottom w:val="nil"/>
                <w:right w:val="nil"/>
                <w:between w:val="nil"/>
              </w:pBdr>
              <w:spacing w:after="0" w:line="240" w:lineRule="auto"/>
              <w:rPr>
                <w:b/>
              </w:rPr>
            </w:pPr>
            <w:r>
              <w:rPr>
                <w:b/>
              </w:rPr>
              <w:t>Personne sourdes :</w:t>
            </w:r>
          </w:p>
        </w:tc>
        <w:tc>
          <w:tcPr>
            <w:tcW w:w="1665" w:type="dxa"/>
            <w:tcBorders>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5D649E96" w14:textId="77777777" w:rsidR="00071486" w:rsidRDefault="00000000">
            <w:pPr>
              <w:widowControl w:val="0"/>
              <w:pBdr>
                <w:top w:val="nil"/>
                <w:left w:val="nil"/>
                <w:bottom w:val="nil"/>
                <w:right w:val="nil"/>
                <w:between w:val="nil"/>
              </w:pBdr>
              <w:spacing w:after="0" w:line="240" w:lineRule="auto"/>
              <w:jc w:val="center"/>
            </w:pPr>
            <w:r>
              <w:t>5 (18 %)</w:t>
            </w:r>
          </w:p>
        </w:tc>
        <w:tc>
          <w:tcPr>
            <w:tcW w:w="1665" w:type="dxa"/>
            <w:vMerge w:val="restart"/>
            <w:tcBorders>
              <w:left w:val="single" w:sz="8" w:space="0" w:color="FFFFFF"/>
              <w:right w:val="single" w:sz="8" w:space="0" w:color="FFFFFF"/>
            </w:tcBorders>
            <w:shd w:val="clear" w:color="auto" w:fill="auto"/>
            <w:tcMar>
              <w:top w:w="28" w:type="dxa"/>
              <w:left w:w="28" w:type="dxa"/>
              <w:bottom w:w="28" w:type="dxa"/>
              <w:right w:w="28" w:type="dxa"/>
            </w:tcMar>
            <w:vAlign w:val="center"/>
          </w:tcPr>
          <w:p w14:paraId="7824C126" w14:textId="77777777" w:rsidR="00071486" w:rsidRDefault="00000000">
            <w:pPr>
              <w:widowControl w:val="0"/>
              <w:pBdr>
                <w:top w:val="nil"/>
                <w:left w:val="nil"/>
                <w:bottom w:val="nil"/>
                <w:right w:val="nil"/>
                <w:between w:val="nil"/>
              </w:pBdr>
              <w:spacing w:after="0" w:line="240" w:lineRule="auto"/>
              <w:jc w:val="center"/>
            </w:pPr>
            <w:r>
              <w:t>13 (48 %)</w:t>
            </w:r>
          </w:p>
        </w:tc>
        <w:tc>
          <w:tcPr>
            <w:tcW w:w="1665" w:type="dxa"/>
            <w:vMerge w:val="restart"/>
            <w:tcBorders>
              <w:left w:val="single" w:sz="8" w:space="0" w:color="FFFFFF"/>
            </w:tcBorders>
            <w:shd w:val="clear" w:color="auto" w:fill="auto"/>
            <w:tcMar>
              <w:top w:w="28" w:type="dxa"/>
              <w:left w:w="28" w:type="dxa"/>
              <w:bottom w:w="28" w:type="dxa"/>
              <w:right w:w="28" w:type="dxa"/>
            </w:tcMar>
            <w:vAlign w:val="center"/>
          </w:tcPr>
          <w:p w14:paraId="3512B4C8" w14:textId="77777777" w:rsidR="00071486" w:rsidRDefault="00000000">
            <w:pPr>
              <w:widowControl w:val="0"/>
              <w:pBdr>
                <w:top w:val="nil"/>
                <w:left w:val="nil"/>
                <w:bottom w:val="nil"/>
                <w:right w:val="nil"/>
                <w:between w:val="nil"/>
              </w:pBdr>
              <w:spacing w:after="0" w:line="240" w:lineRule="auto"/>
              <w:jc w:val="center"/>
            </w:pPr>
            <w:r>
              <w:t>27</w:t>
            </w:r>
          </w:p>
        </w:tc>
      </w:tr>
      <w:tr w:rsidR="00071486" w14:paraId="31031BA4" w14:textId="77777777">
        <w:trPr>
          <w:trHeight w:val="420"/>
          <w:jc w:val="center"/>
        </w:trPr>
        <w:tc>
          <w:tcPr>
            <w:tcW w:w="2775" w:type="dxa"/>
            <w:vMerge/>
            <w:tcBorders>
              <w:right w:val="single" w:sz="8" w:space="0" w:color="FFFFFF"/>
            </w:tcBorders>
            <w:shd w:val="clear" w:color="auto" w:fill="auto"/>
            <w:tcMar>
              <w:top w:w="28" w:type="dxa"/>
              <w:left w:w="28" w:type="dxa"/>
              <w:bottom w:w="28" w:type="dxa"/>
              <w:right w:w="28" w:type="dxa"/>
            </w:tcMar>
            <w:vAlign w:val="center"/>
          </w:tcPr>
          <w:p w14:paraId="1CA9A996" w14:textId="77777777" w:rsidR="00071486" w:rsidRDefault="00071486">
            <w:pPr>
              <w:widowControl w:val="0"/>
              <w:pBdr>
                <w:top w:val="nil"/>
                <w:left w:val="nil"/>
                <w:bottom w:val="nil"/>
                <w:right w:val="nil"/>
                <w:between w:val="nil"/>
              </w:pBdr>
              <w:spacing w:after="0" w:line="240" w:lineRule="auto"/>
            </w:pPr>
          </w:p>
        </w:tc>
        <w:tc>
          <w:tcPr>
            <w:tcW w:w="2250" w:type="dxa"/>
            <w:tcBorders>
              <w:top w:val="single" w:sz="8" w:space="0" w:color="FFFFFF"/>
              <w:left w:val="single" w:sz="8" w:space="0" w:color="FFFFFF"/>
              <w:right w:val="single" w:sz="8" w:space="0" w:color="FFFFFF"/>
            </w:tcBorders>
            <w:shd w:val="clear" w:color="auto" w:fill="auto"/>
            <w:tcMar>
              <w:top w:w="28" w:type="dxa"/>
              <w:left w:w="28" w:type="dxa"/>
              <w:bottom w:w="28" w:type="dxa"/>
              <w:right w:w="28" w:type="dxa"/>
            </w:tcMar>
            <w:vAlign w:val="center"/>
          </w:tcPr>
          <w:p w14:paraId="33DB9990" w14:textId="77777777" w:rsidR="00071486" w:rsidRDefault="00000000">
            <w:pPr>
              <w:widowControl w:val="0"/>
              <w:pBdr>
                <w:top w:val="nil"/>
                <w:left w:val="nil"/>
                <w:bottom w:val="nil"/>
                <w:right w:val="nil"/>
                <w:between w:val="nil"/>
              </w:pBdr>
              <w:spacing w:after="0" w:line="240" w:lineRule="auto"/>
              <w:rPr>
                <w:b/>
              </w:rPr>
            </w:pPr>
            <w:r>
              <w:rPr>
                <w:b/>
              </w:rPr>
              <w:t xml:space="preserve">Personnes malentendantes </w:t>
            </w:r>
          </w:p>
        </w:tc>
        <w:tc>
          <w:tcPr>
            <w:tcW w:w="1665" w:type="dxa"/>
            <w:tcBorders>
              <w:top w:val="single" w:sz="8" w:space="0" w:color="FFFFFF"/>
              <w:left w:val="single" w:sz="8" w:space="0" w:color="FFFFFF"/>
              <w:right w:val="single" w:sz="8" w:space="0" w:color="FFFFFF"/>
            </w:tcBorders>
            <w:shd w:val="clear" w:color="auto" w:fill="auto"/>
            <w:tcMar>
              <w:top w:w="28" w:type="dxa"/>
              <w:left w:w="28" w:type="dxa"/>
              <w:bottom w:w="28" w:type="dxa"/>
              <w:right w:w="28" w:type="dxa"/>
            </w:tcMar>
            <w:vAlign w:val="center"/>
          </w:tcPr>
          <w:p w14:paraId="0A9EFA63" w14:textId="0F8E041C" w:rsidR="00071486" w:rsidRDefault="00000000">
            <w:pPr>
              <w:widowControl w:val="0"/>
              <w:pBdr>
                <w:top w:val="nil"/>
                <w:left w:val="nil"/>
                <w:bottom w:val="nil"/>
                <w:right w:val="nil"/>
                <w:between w:val="nil"/>
              </w:pBdr>
              <w:spacing w:after="0" w:line="240" w:lineRule="auto"/>
              <w:jc w:val="center"/>
            </w:pPr>
            <w:r>
              <w:t>8 (30 %)</w:t>
            </w:r>
          </w:p>
        </w:tc>
        <w:tc>
          <w:tcPr>
            <w:tcW w:w="1665" w:type="dxa"/>
            <w:vMerge/>
            <w:tcBorders>
              <w:left w:val="single" w:sz="8" w:space="0" w:color="FFFFFF"/>
              <w:right w:val="single" w:sz="8" w:space="0" w:color="FFFFFF"/>
            </w:tcBorders>
            <w:shd w:val="clear" w:color="auto" w:fill="auto"/>
            <w:tcMar>
              <w:top w:w="28" w:type="dxa"/>
              <w:left w:w="28" w:type="dxa"/>
              <w:bottom w:w="28" w:type="dxa"/>
              <w:right w:w="28" w:type="dxa"/>
            </w:tcMar>
            <w:vAlign w:val="center"/>
          </w:tcPr>
          <w:p w14:paraId="0FF86FF9" w14:textId="77777777" w:rsidR="00071486" w:rsidRDefault="00071486">
            <w:pPr>
              <w:widowControl w:val="0"/>
              <w:pBdr>
                <w:top w:val="nil"/>
                <w:left w:val="nil"/>
                <w:bottom w:val="nil"/>
                <w:right w:val="nil"/>
                <w:between w:val="nil"/>
              </w:pBdr>
              <w:spacing w:after="0" w:line="240" w:lineRule="auto"/>
              <w:jc w:val="center"/>
            </w:pPr>
          </w:p>
        </w:tc>
        <w:tc>
          <w:tcPr>
            <w:tcW w:w="1665" w:type="dxa"/>
            <w:vMerge/>
            <w:tcBorders>
              <w:left w:val="single" w:sz="8" w:space="0" w:color="FFFFFF"/>
            </w:tcBorders>
            <w:shd w:val="clear" w:color="auto" w:fill="auto"/>
            <w:tcMar>
              <w:top w:w="28" w:type="dxa"/>
              <w:left w:w="28" w:type="dxa"/>
              <w:bottom w:w="28" w:type="dxa"/>
              <w:right w:w="28" w:type="dxa"/>
            </w:tcMar>
            <w:vAlign w:val="center"/>
          </w:tcPr>
          <w:p w14:paraId="48EC6C4A" w14:textId="77777777" w:rsidR="00071486" w:rsidRDefault="00071486">
            <w:pPr>
              <w:widowControl w:val="0"/>
              <w:pBdr>
                <w:top w:val="nil"/>
                <w:left w:val="nil"/>
                <w:bottom w:val="nil"/>
                <w:right w:val="nil"/>
                <w:between w:val="nil"/>
              </w:pBdr>
              <w:spacing w:after="0" w:line="240" w:lineRule="auto"/>
            </w:pPr>
          </w:p>
        </w:tc>
      </w:tr>
      <w:tr w:rsidR="00071486" w14:paraId="131A9319" w14:textId="77777777">
        <w:trPr>
          <w:trHeight w:val="420"/>
          <w:jc w:val="center"/>
        </w:trPr>
        <w:tc>
          <w:tcPr>
            <w:tcW w:w="2775" w:type="dxa"/>
            <w:vMerge w:val="restart"/>
            <w:tcBorders>
              <w:right w:val="single" w:sz="8" w:space="0" w:color="FFFFFF"/>
            </w:tcBorders>
            <w:shd w:val="clear" w:color="auto" w:fill="auto"/>
            <w:tcMar>
              <w:top w:w="28" w:type="dxa"/>
              <w:left w:w="28" w:type="dxa"/>
              <w:bottom w:w="28" w:type="dxa"/>
              <w:right w:w="28" w:type="dxa"/>
            </w:tcMar>
            <w:vAlign w:val="center"/>
          </w:tcPr>
          <w:p w14:paraId="5F48245D" w14:textId="77777777" w:rsidR="00071486" w:rsidRDefault="00000000">
            <w:pPr>
              <w:widowControl w:val="0"/>
              <w:pBdr>
                <w:top w:val="nil"/>
                <w:left w:val="nil"/>
                <w:bottom w:val="nil"/>
                <w:right w:val="nil"/>
                <w:between w:val="nil"/>
              </w:pBdr>
              <w:spacing w:after="0" w:line="240" w:lineRule="auto"/>
              <w:rPr>
                <w:b/>
              </w:rPr>
            </w:pPr>
            <w:r>
              <w:rPr>
                <w:b/>
              </w:rPr>
              <w:t xml:space="preserve"> Hockey</w:t>
            </w:r>
          </w:p>
        </w:tc>
        <w:tc>
          <w:tcPr>
            <w:tcW w:w="2250" w:type="dxa"/>
            <w:tcBorders>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6DA7F00E" w14:textId="77777777" w:rsidR="00071486" w:rsidRDefault="00000000">
            <w:pPr>
              <w:widowControl w:val="0"/>
              <w:spacing w:after="0" w:line="240" w:lineRule="auto"/>
              <w:rPr>
                <w:b/>
              </w:rPr>
            </w:pPr>
            <w:r>
              <w:rPr>
                <w:b/>
              </w:rPr>
              <w:t>Personne sourdes :</w:t>
            </w:r>
          </w:p>
        </w:tc>
        <w:tc>
          <w:tcPr>
            <w:tcW w:w="1665" w:type="dxa"/>
            <w:tcBorders>
              <w:left w:val="single" w:sz="8" w:space="0" w:color="FFFFFF"/>
              <w:bottom w:val="single" w:sz="8" w:space="0" w:color="FFFFFF"/>
              <w:right w:val="single" w:sz="8" w:space="0" w:color="FFFFFF"/>
            </w:tcBorders>
            <w:shd w:val="clear" w:color="auto" w:fill="auto"/>
            <w:tcMar>
              <w:top w:w="28" w:type="dxa"/>
              <w:left w:w="28" w:type="dxa"/>
              <w:bottom w:w="28" w:type="dxa"/>
              <w:right w:w="28" w:type="dxa"/>
            </w:tcMar>
            <w:vAlign w:val="center"/>
          </w:tcPr>
          <w:p w14:paraId="5EB134FB" w14:textId="77777777" w:rsidR="00071486" w:rsidRDefault="00000000">
            <w:pPr>
              <w:widowControl w:val="0"/>
              <w:pBdr>
                <w:top w:val="nil"/>
                <w:left w:val="nil"/>
                <w:bottom w:val="nil"/>
                <w:right w:val="nil"/>
                <w:between w:val="nil"/>
              </w:pBdr>
              <w:spacing w:after="0" w:line="240" w:lineRule="auto"/>
              <w:jc w:val="center"/>
            </w:pPr>
            <w:r>
              <w:t>11 (41 %)</w:t>
            </w:r>
          </w:p>
        </w:tc>
        <w:tc>
          <w:tcPr>
            <w:tcW w:w="1665" w:type="dxa"/>
            <w:vMerge w:val="restart"/>
            <w:tcBorders>
              <w:left w:val="single" w:sz="8" w:space="0" w:color="FFFFFF"/>
              <w:right w:val="single" w:sz="8" w:space="0" w:color="FFFFFF"/>
            </w:tcBorders>
            <w:shd w:val="clear" w:color="auto" w:fill="auto"/>
            <w:tcMar>
              <w:top w:w="28" w:type="dxa"/>
              <w:left w:w="28" w:type="dxa"/>
              <w:bottom w:w="28" w:type="dxa"/>
              <w:right w:w="28" w:type="dxa"/>
            </w:tcMar>
            <w:vAlign w:val="center"/>
          </w:tcPr>
          <w:p w14:paraId="4F4A709A" w14:textId="77777777" w:rsidR="00071486" w:rsidRDefault="00000000">
            <w:pPr>
              <w:widowControl w:val="0"/>
              <w:pBdr>
                <w:top w:val="nil"/>
                <w:left w:val="nil"/>
                <w:bottom w:val="nil"/>
                <w:right w:val="nil"/>
                <w:between w:val="nil"/>
              </w:pBdr>
              <w:spacing w:after="0" w:line="240" w:lineRule="auto"/>
              <w:jc w:val="center"/>
            </w:pPr>
            <w:r>
              <w:t>14 (52 %)</w:t>
            </w:r>
          </w:p>
        </w:tc>
        <w:tc>
          <w:tcPr>
            <w:tcW w:w="1665" w:type="dxa"/>
            <w:vMerge/>
            <w:tcBorders>
              <w:left w:val="single" w:sz="8" w:space="0" w:color="FFFFFF"/>
            </w:tcBorders>
            <w:shd w:val="clear" w:color="auto" w:fill="auto"/>
            <w:tcMar>
              <w:top w:w="28" w:type="dxa"/>
              <w:left w:w="28" w:type="dxa"/>
              <w:bottom w:w="28" w:type="dxa"/>
              <w:right w:w="28" w:type="dxa"/>
            </w:tcMar>
            <w:vAlign w:val="center"/>
          </w:tcPr>
          <w:p w14:paraId="75CEA19A" w14:textId="77777777" w:rsidR="00071486" w:rsidRDefault="00071486">
            <w:pPr>
              <w:widowControl w:val="0"/>
              <w:pBdr>
                <w:top w:val="nil"/>
                <w:left w:val="nil"/>
                <w:bottom w:val="nil"/>
                <w:right w:val="nil"/>
                <w:between w:val="nil"/>
              </w:pBdr>
              <w:spacing w:after="0" w:line="240" w:lineRule="auto"/>
            </w:pPr>
          </w:p>
        </w:tc>
      </w:tr>
      <w:tr w:rsidR="00071486" w14:paraId="1899DBE2" w14:textId="77777777">
        <w:trPr>
          <w:trHeight w:val="420"/>
          <w:jc w:val="center"/>
        </w:trPr>
        <w:tc>
          <w:tcPr>
            <w:tcW w:w="2775" w:type="dxa"/>
            <w:vMerge/>
            <w:tcBorders>
              <w:right w:val="single" w:sz="8" w:space="0" w:color="FFFFFF"/>
            </w:tcBorders>
            <w:shd w:val="clear" w:color="auto" w:fill="auto"/>
            <w:tcMar>
              <w:top w:w="28" w:type="dxa"/>
              <w:left w:w="28" w:type="dxa"/>
              <w:bottom w:w="28" w:type="dxa"/>
              <w:right w:w="28" w:type="dxa"/>
            </w:tcMar>
            <w:vAlign w:val="center"/>
          </w:tcPr>
          <w:p w14:paraId="7D89ED30" w14:textId="77777777" w:rsidR="00071486" w:rsidRDefault="00071486">
            <w:pPr>
              <w:widowControl w:val="0"/>
              <w:pBdr>
                <w:top w:val="nil"/>
                <w:left w:val="nil"/>
                <w:bottom w:val="nil"/>
                <w:right w:val="nil"/>
                <w:between w:val="nil"/>
              </w:pBdr>
              <w:spacing w:after="0" w:line="240" w:lineRule="auto"/>
            </w:pPr>
          </w:p>
        </w:tc>
        <w:tc>
          <w:tcPr>
            <w:tcW w:w="2250" w:type="dxa"/>
            <w:tcBorders>
              <w:top w:val="single" w:sz="8" w:space="0" w:color="FFFFFF"/>
              <w:left w:val="single" w:sz="8" w:space="0" w:color="FFFFFF"/>
              <w:right w:val="single" w:sz="8" w:space="0" w:color="FFFFFF"/>
            </w:tcBorders>
            <w:shd w:val="clear" w:color="auto" w:fill="auto"/>
            <w:tcMar>
              <w:top w:w="28" w:type="dxa"/>
              <w:left w:w="28" w:type="dxa"/>
              <w:bottom w:w="28" w:type="dxa"/>
              <w:right w:w="28" w:type="dxa"/>
            </w:tcMar>
            <w:vAlign w:val="center"/>
          </w:tcPr>
          <w:p w14:paraId="2F5D32BD" w14:textId="77777777" w:rsidR="00071486" w:rsidRDefault="00000000">
            <w:pPr>
              <w:widowControl w:val="0"/>
              <w:spacing w:after="0" w:line="240" w:lineRule="auto"/>
              <w:rPr>
                <w:b/>
              </w:rPr>
            </w:pPr>
            <w:r>
              <w:rPr>
                <w:b/>
              </w:rPr>
              <w:t>Personnes malentendantes</w:t>
            </w:r>
          </w:p>
        </w:tc>
        <w:tc>
          <w:tcPr>
            <w:tcW w:w="1665" w:type="dxa"/>
            <w:tcBorders>
              <w:top w:val="single" w:sz="8" w:space="0" w:color="FFFFFF"/>
              <w:left w:val="single" w:sz="8" w:space="0" w:color="FFFFFF"/>
              <w:right w:val="single" w:sz="8" w:space="0" w:color="FFFFFF"/>
            </w:tcBorders>
            <w:shd w:val="clear" w:color="auto" w:fill="auto"/>
            <w:tcMar>
              <w:top w:w="28" w:type="dxa"/>
              <w:left w:w="28" w:type="dxa"/>
              <w:bottom w:w="28" w:type="dxa"/>
              <w:right w:w="28" w:type="dxa"/>
            </w:tcMar>
            <w:vAlign w:val="center"/>
          </w:tcPr>
          <w:p w14:paraId="25705082" w14:textId="77777777" w:rsidR="00071486" w:rsidRDefault="00000000">
            <w:pPr>
              <w:widowControl w:val="0"/>
              <w:pBdr>
                <w:top w:val="nil"/>
                <w:left w:val="nil"/>
                <w:bottom w:val="nil"/>
                <w:right w:val="nil"/>
                <w:between w:val="nil"/>
              </w:pBdr>
              <w:spacing w:after="0" w:line="240" w:lineRule="auto"/>
              <w:jc w:val="center"/>
            </w:pPr>
            <w:r>
              <w:t>3 (11 %)</w:t>
            </w:r>
          </w:p>
        </w:tc>
        <w:tc>
          <w:tcPr>
            <w:tcW w:w="1665" w:type="dxa"/>
            <w:vMerge/>
            <w:tcBorders>
              <w:left w:val="single" w:sz="8" w:space="0" w:color="FFFFFF"/>
              <w:right w:val="single" w:sz="8" w:space="0" w:color="FFFFFF"/>
            </w:tcBorders>
            <w:shd w:val="clear" w:color="auto" w:fill="auto"/>
            <w:tcMar>
              <w:top w:w="28" w:type="dxa"/>
              <w:left w:w="28" w:type="dxa"/>
              <w:bottom w:w="28" w:type="dxa"/>
              <w:right w:w="28" w:type="dxa"/>
            </w:tcMar>
            <w:vAlign w:val="center"/>
          </w:tcPr>
          <w:p w14:paraId="60CD4884" w14:textId="77777777" w:rsidR="00071486" w:rsidRDefault="00071486">
            <w:pPr>
              <w:widowControl w:val="0"/>
              <w:pBdr>
                <w:top w:val="nil"/>
                <w:left w:val="nil"/>
                <w:bottom w:val="nil"/>
                <w:right w:val="nil"/>
                <w:between w:val="nil"/>
              </w:pBdr>
              <w:spacing w:after="0" w:line="240" w:lineRule="auto"/>
              <w:jc w:val="center"/>
            </w:pPr>
          </w:p>
        </w:tc>
        <w:tc>
          <w:tcPr>
            <w:tcW w:w="1665" w:type="dxa"/>
            <w:vMerge/>
            <w:tcBorders>
              <w:left w:val="single" w:sz="8" w:space="0" w:color="FFFFFF"/>
            </w:tcBorders>
            <w:shd w:val="clear" w:color="auto" w:fill="auto"/>
            <w:tcMar>
              <w:top w:w="28" w:type="dxa"/>
              <w:left w:w="28" w:type="dxa"/>
              <w:bottom w:w="28" w:type="dxa"/>
              <w:right w:w="28" w:type="dxa"/>
            </w:tcMar>
            <w:vAlign w:val="center"/>
          </w:tcPr>
          <w:p w14:paraId="3E63E01F" w14:textId="77777777" w:rsidR="00071486" w:rsidRDefault="00071486">
            <w:pPr>
              <w:widowControl w:val="0"/>
              <w:pBdr>
                <w:top w:val="nil"/>
                <w:left w:val="nil"/>
                <w:bottom w:val="nil"/>
                <w:right w:val="nil"/>
                <w:between w:val="nil"/>
              </w:pBdr>
              <w:spacing w:after="0" w:line="240" w:lineRule="auto"/>
            </w:pPr>
          </w:p>
        </w:tc>
      </w:tr>
    </w:tbl>
    <w:p w14:paraId="30ED20FE" w14:textId="77777777" w:rsidR="00071486" w:rsidRDefault="00000000">
      <w:pPr>
        <w:pStyle w:val="Heading5"/>
        <w:spacing w:before="120"/>
        <w:rPr>
          <w:b/>
        </w:rPr>
      </w:pPr>
      <w:bookmarkStart w:id="27" w:name="_krrmxk5hppv3"/>
      <w:bookmarkStart w:id="28" w:name="_Toc151722638"/>
      <w:bookmarkEnd w:id="27"/>
      <w:r>
        <w:rPr>
          <w:b/>
        </w:rPr>
        <w:t>Tableau 2 : Répartition de l’échantillon par tranches d’âge.</w:t>
      </w:r>
      <w:bookmarkEnd w:id="28"/>
    </w:p>
    <w:tbl>
      <w:tblPr>
        <w:tblStyle w:val="a0"/>
        <w:tblW w:w="10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7"/>
        <w:gridCol w:w="2516"/>
        <w:gridCol w:w="2516"/>
        <w:gridCol w:w="2516"/>
      </w:tblGrid>
      <w:tr w:rsidR="00071486" w14:paraId="75C674D8" w14:textId="77777777">
        <w:tc>
          <w:tcPr>
            <w:tcW w:w="2516" w:type="dxa"/>
            <w:tcBorders>
              <w:right w:val="single" w:sz="8" w:space="0" w:color="FFFFFF"/>
            </w:tcBorders>
            <w:shd w:val="clear" w:color="auto" w:fill="auto"/>
            <w:tcMar>
              <w:top w:w="43" w:type="dxa"/>
              <w:left w:w="43" w:type="dxa"/>
              <w:bottom w:w="43" w:type="dxa"/>
              <w:right w:w="43" w:type="dxa"/>
            </w:tcMar>
          </w:tcPr>
          <w:p w14:paraId="14176E64" w14:textId="77777777" w:rsidR="00071486" w:rsidRDefault="00000000">
            <w:pPr>
              <w:widowControl w:val="0"/>
              <w:spacing w:after="0" w:line="240" w:lineRule="auto"/>
              <w:rPr>
                <w:b/>
              </w:rPr>
            </w:pPr>
            <w:r>
              <w:rPr>
                <w:b/>
              </w:rPr>
              <w:t xml:space="preserve"> Tranche d’âge</w:t>
            </w:r>
          </w:p>
        </w:tc>
        <w:tc>
          <w:tcPr>
            <w:tcW w:w="2516" w:type="dxa"/>
            <w:tcBorders>
              <w:left w:val="single" w:sz="8" w:space="0" w:color="FFFFFF"/>
              <w:right w:val="single" w:sz="8" w:space="0" w:color="FFFFFF"/>
            </w:tcBorders>
            <w:shd w:val="clear" w:color="auto" w:fill="auto"/>
            <w:tcMar>
              <w:top w:w="43" w:type="dxa"/>
              <w:left w:w="43" w:type="dxa"/>
              <w:bottom w:w="43" w:type="dxa"/>
              <w:right w:w="43" w:type="dxa"/>
            </w:tcMar>
          </w:tcPr>
          <w:p w14:paraId="61F2BC0E" w14:textId="77777777" w:rsidR="00071486" w:rsidRDefault="00000000">
            <w:pPr>
              <w:widowControl w:val="0"/>
              <w:pBdr>
                <w:top w:val="nil"/>
                <w:left w:val="nil"/>
                <w:bottom w:val="nil"/>
                <w:right w:val="nil"/>
                <w:between w:val="nil"/>
              </w:pBdr>
              <w:spacing w:after="0" w:line="240" w:lineRule="auto"/>
              <w:jc w:val="center"/>
              <w:rPr>
                <w:b/>
              </w:rPr>
            </w:pPr>
            <w:r>
              <w:rPr>
                <w:b/>
              </w:rPr>
              <w:t>Personne sourdes :</w:t>
            </w:r>
          </w:p>
        </w:tc>
        <w:tc>
          <w:tcPr>
            <w:tcW w:w="2516" w:type="dxa"/>
            <w:tcBorders>
              <w:left w:val="single" w:sz="8" w:space="0" w:color="FFFFFF"/>
              <w:right w:val="single" w:sz="8" w:space="0" w:color="FFFFFF"/>
            </w:tcBorders>
            <w:shd w:val="clear" w:color="auto" w:fill="auto"/>
            <w:tcMar>
              <w:top w:w="43" w:type="dxa"/>
              <w:left w:w="43" w:type="dxa"/>
              <w:bottom w:w="43" w:type="dxa"/>
              <w:right w:w="43" w:type="dxa"/>
            </w:tcMar>
          </w:tcPr>
          <w:p w14:paraId="38255B19" w14:textId="77777777" w:rsidR="00071486" w:rsidRDefault="00000000">
            <w:pPr>
              <w:widowControl w:val="0"/>
              <w:pBdr>
                <w:top w:val="nil"/>
                <w:left w:val="nil"/>
                <w:bottom w:val="nil"/>
                <w:right w:val="nil"/>
                <w:between w:val="nil"/>
              </w:pBdr>
              <w:spacing w:after="0" w:line="240" w:lineRule="auto"/>
              <w:jc w:val="center"/>
              <w:rPr>
                <w:b/>
              </w:rPr>
            </w:pPr>
            <w:r>
              <w:rPr>
                <w:b/>
              </w:rPr>
              <w:t>Personnes malentendantes</w:t>
            </w:r>
          </w:p>
        </w:tc>
        <w:tc>
          <w:tcPr>
            <w:tcW w:w="2516" w:type="dxa"/>
            <w:tcBorders>
              <w:left w:val="single" w:sz="8" w:space="0" w:color="FFFFFF"/>
            </w:tcBorders>
            <w:shd w:val="clear" w:color="auto" w:fill="auto"/>
            <w:tcMar>
              <w:top w:w="43" w:type="dxa"/>
              <w:left w:w="43" w:type="dxa"/>
              <w:bottom w:w="43" w:type="dxa"/>
              <w:right w:w="43" w:type="dxa"/>
            </w:tcMar>
          </w:tcPr>
          <w:p w14:paraId="0C24AB25" w14:textId="77777777" w:rsidR="00071486" w:rsidRDefault="00000000">
            <w:pPr>
              <w:widowControl w:val="0"/>
              <w:pBdr>
                <w:top w:val="nil"/>
                <w:left w:val="nil"/>
                <w:bottom w:val="nil"/>
                <w:right w:val="nil"/>
                <w:between w:val="nil"/>
              </w:pBdr>
              <w:spacing w:after="0" w:line="240" w:lineRule="auto"/>
              <w:jc w:val="center"/>
              <w:rPr>
                <w:b/>
              </w:rPr>
            </w:pPr>
            <w:r>
              <w:rPr>
                <w:b/>
              </w:rPr>
              <w:t xml:space="preserve">Total </w:t>
            </w:r>
          </w:p>
        </w:tc>
      </w:tr>
      <w:tr w:rsidR="00071486" w14:paraId="1DEF7503" w14:textId="77777777">
        <w:tc>
          <w:tcPr>
            <w:tcW w:w="2516" w:type="dxa"/>
            <w:tcBorders>
              <w:bottom w:val="single" w:sz="8" w:space="0" w:color="FFFFFF"/>
              <w:right w:val="single" w:sz="8" w:space="0" w:color="FFFFFF"/>
            </w:tcBorders>
            <w:shd w:val="clear" w:color="auto" w:fill="auto"/>
            <w:tcMar>
              <w:top w:w="43" w:type="dxa"/>
              <w:left w:w="43" w:type="dxa"/>
              <w:bottom w:w="43" w:type="dxa"/>
              <w:right w:w="43" w:type="dxa"/>
            </w:tcMar>
          </w:tcPr>
          <w:p w14:paraId="597D6A78" w14:textId="77777777" w:rsidR="00071486" w:rsidRDefault="00000000">
            <w:pPr>
              <w:widowControl w:val="0"/>
              <w:spacing w:after="0" w:line="240" w:lineRule="auto"/>
              <w:rPr>
                <w:b/>
              </w:rPr>
            </w:pPr>
            <w:r>
              <w:rPr>
                <w:b/>
              </w:rPr>
              <w:t xml:space="preserve"> 18 à 24 ans</w:t>
            </w:r>
          </w:p>
        </w:tc>
        <w:tc>
          <w:tcPr>
            <w:tcW w:w="2516"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3B6A5BEE" w14:textId="77777777" w:rsidR="00071486" w:rsidRDefault="00000000">
            <w:pPr>
              <w:widowControl w:val="0"/>
              <w:pBdr>
                <w:top w:val="nil"/>
                <w:left w:val="nil"/>
                <w:bottom w:val="nil"/>
                <w:right w:val="nil"/>
                <w:between w:val="nil"/>
              </w:pBdr>
              <w:spacing w:after="0" w:line="240" w:lineRule="auto"/>
              <w:jc w:val="center"/>
            </w:pPr>
            <w:r>
              <w:t>1 (3,7 %)</w:t>
            </w:r>
          </w:p>
        </w:tc>
        <w:tc>
          <w:tcPr>
            <w:tcW w:w="2516"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7A55873C" w14:textId="77777777" w:rsidR="00071486" w:rsidRDefault="00000000">
            <w:pPr>
              <w:widowControl w:val="0"/>
              <w:pBdr>
                <w:top w:val="nil"/>
                <w:left w:val="nil"/>
                <w:bottom w:val="nil"/>
                <w:right w:val="nil"/>
                <w:between w:val="nil"/>
              </w:pBdr>
              <w:spacing w:after="0" w:line="240" w:lineRule="auto"/>
              <w:jc w:val="center"/>
            </w:pPr>
            <w:r>
              <w:t>2 (7,4 %)</w:t>
            </w:r>
          </w:p>
        </w:tc>
        <w:tc>
          <w:tcPr>
            <w:tcW w:w="2516" w:type="dxa"/>
            <w:tcBorders>
              <w:left w:val="single" w:sz="8" w:space="0" w:color="FFFFFF"/>
              <w:bottom w:val="single" w:sz="8" w:space="0" w:color="FFFFFF"/>
            </w:tcBorders>
            <w:shd w:val="clear" w:color="auto" w:fill="auto"/>
            <w:tcMar>
              <w:top w:w="43" w:type="dxa"/>
              <w:left w:w="43" w:type="dxa"/>
              <w:bottom w:w="43" w:type="dxa"/>
              <w:right w:w="43" w:type="dxa"/>
            </w:tcMar>
          </w:tcPr>
          <w:p w14:paraId="3E31F777" w14:textId="77777777" w:rsidR="00071486" w:rsidRDefault="00000000">
            <w:pPr>
              <w:widowControl w:val="0"/>
              <w:pBdr>
                <w:top w:val="nil"/>
                <w:left w:val="nil"/>
                <w:bottom w:val="nil"/>
                <w:right w:val="nil"/>
                <w:between w:val="nil"/>
              </w:pBdr>
              <w:spacing w:after="0" w:line="240" w:lineRule="auto"/>
              <w:jc w:val="center"/>
            </w:pPr>
            <w:r>
              <w:t>3 (11,1 %)</w:t>
            </w:r>
          </w:p>
        </w:tc>
      </w:tr>
      <w:tr w:rsidR="00071486" w14:paraId="5A7A47C0" w14:textId="77777777">
        <w:tc>
          <w:tcPr>
            <w:tcW w:w="2516" w:type="dxa"/>
            <w:tcBorders>
              <w:top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0668B355" w14:textId="77777777" w:rsidR="00071486" w:rsidRDefault="00000000">
            <w:pPr>
              <w:widowControl w:val="0"/>
              <w:spacing w:after="0" w:line="240" w:lineRule="auto"/>
              <w:rPr>
                <w:b/>
              </w:rPr>
            </w:pPr>
            <w:r>
              <w:rPr>
                <w:b/>
              </w:rPr>
              <w:lastRenderedPageBreak/>
              <w:t xml:space="preserve"> 25 à 34 ans</w:t>
            </w:r>
          </w:p>
        </w:tc>
        <w:tc>
          <w:tcPr>
            <w:tcW w:w="2516"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79B4830A" w14:textId="77777777" w:rsidR="00071486" w:rsidRDefault="00000000">
            <w:pPr>
              <w:widowControl w:val="0"/>
              <w:pBdr>
                <w:top w:val="nil"/>
                <w:left w:val="nil"/>
                <w:bottom w:val="nil"/>
                <w:right w:val="nil"/>
                <w:between w:val="nil"/>
              </w:pBdr>
              <w:spacing w:after="0" w:line="240" w:lineRule="auto"/>
              <w:jc w:val="center"/>
            </w:pPr>
            <w:r>
              <w:t>0</w:t>
            </w:r>
          </w:p>
        </w:tc>
        <w:tc>
          <w:tcPr>
            <w:tcW w:w="2516"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1D141B8F" w14:textId="77777777" w:rsidR="00071486" w:rsidRDefault="00000000">
            <w:pPr>
              <w:widowControl w:val="0"/>
              <w:spacing w:after="0" w:line="240" w:lineRule="auto"/>
              <w:jc w:val="center"/>
            </w:pPr>
            <w:r>
              <w:t>2 (7,4 %)</w:t>
            </w:r>
          </w:p>
        </w:tc>
        <w:tc>
          <w:tcPr>
            <w:tcW w:w="2516" w:type="dxa"/>
            <w:tcBorders>
              <w:top w:val="single" w:sz="8" w:space="0" w:color="FFFFFF"/>
              <w:left w:val="single" w:sz="8" w:space="0" w:color="FFFFFF"/>
              <w:bottom w:val="single" w:sz="8" w:space="0" w:color="FFFFFF"/>
            </w:tcBorders>
            <w:shd w:val="clear" w:color="auto" w:fill="auto"/>
            <w:tcMar>
              <w:top w:w="43" w:type="dxa"/>
              <w:left w:w="43" w:type="dxa"/>
              <w:bottom w:w="43" w:type="dxa"/>
              <w:right w:w="43" w:type="dxa"/>
            </w:tcMar>
          </w:tcPr>
          <w:p w14:paraId="2771F96B" w14:textId="77777777" w:rsidR="00071486" w:rsidRDefault="00000000">
            <w:pPr>
              <w:widowControl w:val="0"/>
              <w:spacing w:after="0" w:line="240" w:lineRule="auto"/>
              <w:jc w:val="center"/>
            </w:pPr>
            <w:r>
              <w:t>2 (7,4 %)</w:t>
            </w:r>
          </w:p>
        </w:tc>
      </w:tr>
      <w:tr w:rsidR="00071486" w14:paraId="0FAA054D" w14:textId="77777777">
        <w:tc>
          <w:tcPr>
            <w:tcW w:w="2516" w:type="dxa"/>
            <w:tcBorders>
              <w:top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201F6E56" w14:textId="77777777" w:rsidR="00071486" w:rsidRDefault="00000000">
            <w:pPr>
              <w:widowControl w:val="0"/>
              <w:spacing w:after="0" w:line="240" w:lineRule="auto"/>
              <w:rPr>
                <w:b/>
              </w:rPr>
            </w:pPr>
            <w:r>
              <w:rPr>
                <w:b/>
              </w:rPr>
              <w:t xml:space="preserve"> 35 à 44 ans</w:t>
            </w:r>
          </w:p>
        </w:tc>
        <w:tc>
          <w:tcPr>
            <w:tcW w:w="2516"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70D8AE0F" w14:textId="77777777" w:rsidR="00071486" w:rsidRDefault="00000000">
            <w:pPr>
              <w:widowControl w:val="0"/>
              <w:pBdr>
                <w:top w:val="nil"/>
                <w:left w:val="nil"/>
                <w:bottom w:val="nil"/>
                <w:right w:val="nil"/>
                <w:between w:val="nil"/>
              </w:pBdr>
              <w:spacing w:after="0" w:line="240" w:lineRule="auto"/>
              <w:jc w:val="center"/>
            </w:pPr>
            <w:r>
              <w:t>6 (22,2 %)</w:t>
            </w:r>
          </w:p>
        </w:tc>
        <w:tc>
          <w:tcPr>
            <w:tcW w:w="2516"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439A66F7" w14:textId="77777777" w:rsidR="00071486" w:rsidRDefault="00000000">
            <w:pPr>
              <w:widowControl w:val="0"/>
              <w:pBdr>
                <w:top w:val="nil"/>
                <w:left w:val="nil"/>
                <w:bottom w:val="nil"/>
                <w:right w:val="nil"/>
                <w:between w:val="nil"/>
              </w:pBdr>
              <w:spacing w:after="0" w:line="240" w:lineRule="auto"/>
              <w:jc w:val="center"/>
            </w:pPr>
            <w:r>
              <w:t>1 (3,7 %)</w:t>
            </w:r>
          </w:p>
        </w:tc>
        <w:tc>
          <w:tcPr>
            <w:tcW w:w="2516" w:type="dxa"/>
            <w:tcBorders>
              <w:top w:val="single" w:sz="8" w:space="0" w:color="FFFFFF"/>
              <w:left w:val="single" w:sz="8" w:space="0" w:color="FFFFFF"/>
              <w:bottom w:val="single" w:sz="8" w:space="0" w:color="FFFFFF"/>
            </w:tcBorders>
            <w:shd w:val="clear" w:color="auto" w:fill="auto"/>
            <w:tcMar>
              <w:top w:w="43" w:type="dxa"/>
              <w:left w:w="43" w:type="dxa"/>
              <w:bottom w:w="43" w:type="dxa"/>
              <w:right w:w="43" w:type="dxa"/>
            </w:tcMar>
          </w:tcPr>
          <w:p w14:paraId="156CF2C4" w14:textId="77777777" w:rsidR="00071486" w:rsidRDefault="00000000">
            <w:pPr>
              <w:widowControl w:val="0"/>
              <w:pBdr>
                <w:top w:val="nil"/>
                <w:left w:val="nil"/>
                <w:bottom w:val="nil"/>
                <w:right w:val="nil"/>
                <w:between w:val="nil"/>
              </w:pBdr>
              <w:spacing w:after="0" w:line="240" w:lineRule="auto"/>
              <w:jc w:val="center"/>
            </w:pPr>
            <w:r>
              <w:t>7 (25,8 %)</w:t>
            </w:r>
          </w:p>
        </w:tc>
      </w:tr>
      <w:tr w:rsidR="00071486" w14:paraId="257EB855" w14:textId="77777777">
        <w:tc>
          <w:tcPr>
            <w:tcW w:w="2516" w:type="dxa"/>
            <w:tcBorders>
              <w:top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089A0204" w14:textId="77777777" w:rsidR="00071486" w:rsidRDefault="00000000">
            <w:pPr>
              <w:widowControl w:val="0"/>
              <w:spacing w:after="0" w:line="240" w:lineRule="auto"/>
              <w:rPr>
                <w:b/>
              </w:rPr>
            </w:pPr>
            <w:r>
              <w:rPr>
                <w:b/>
              </w:rPr>
              <w:t xml:space="preserve"> 45 à 54 ans</w:t>
            </w:r>
          </w:p>
        </w:tc>
        <w:tc>
          <w:tcPr>
            <w:tcW w:w="2516"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174BF8EC" w14:textId="77777777" w:rsidR="00071486" w:rsidRDefault="00000000">
            <w:pPr>
              <w:widowControl w:val="0"/>
              <w:pBdr>
                <w:top w:val="nil"/>
                <w:left w:val="nil"/>
                <w:bottom w:val="nil"/>
                <w:right w:val="nil"/>
                <w:between w:val="nil"/>
              </w:pBdr>
              <w:spacing w:after="0" w:line="240" w:lineRule="auto"/>
              <w:jc w:val="center"/>
            </w:pPr>
            <w:r>
              <w:t>4 (14,7 %)</w:t>
            </w:r>
          </w:p>
        </w:tc>
        <w:tc>
          <w:tcPr>
            <w:tcW w:w="2516"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58992251" w14:textId="77777777" w:rsidR="00071486" w:rsidRDefault="00000000">
            <w:pPr>
              <w:widowControl w:val="0"/>
              <w:spacing w:after="0" w:line="240" w:lineRule="auto"/>
              <w:jc w:val="center"/>
            </w:pPr>
            <w:r>
              <w:t>3 (11,1 %)</w:t>
            </w:r>
          </w:p>
        </w:tc>
        <w:tc>
          <w:tcPr>
            <w:tcW w:w="2516" w:type="dxa"/>
            <w:tcBorders>
              <w:top w:val="single" w:sz="8" w:space="0" w:color="FFFFFF"/>
              <w:left w:val="single" w:sz="8" w:space="0" w:color="FFFFFF"/>
              <w:bottom w:val="single" w:sz="8" w:space="0" w:color="FFFFFF"/>
            </w:tcBorders>
            <w:shd w:val="clear" w:color="auto" w:fill="auto"/>
            <w:tcMar>
              <w:top w:w="43" w:type="dxa"/>
              <w:left w:w="43" w:type="dxa"/>
              <w:bottom w:w="43" w:type="dxa"/>
              <w:right w:w="43" w:type="dxa"/>
            </w:tcMar>
          </w:tcPr>
          <w:p w14:paraId="05C65A31" w14:textId="77777777" w:rsidR="00071486" w:rsidRDefault="00000000">
            <w:pPr>
              <w:widowControl w:val="0"/>
              <w:pBdr>
                <w:top w:val="nil"/>
                <w:left w:val="nil"/>
                <w:bottom w:val="nil"/>
                <w:right w:val="nil"/>
                <w:between w:val="nil"/>
              </w:pBdr>
              <w:spacing w:after="0" w:line="240" w:lineRule="auto"/>
              <w:jc w:val="center"/>
            </w:pPr>
            <w:r>
              <w:t>7 (25,8 %)</w:t>
            </w:r>
          </w:p>
        </w:tc>
      </w:tr>
      <w:tr w:rsidR="00071486" w14:paraId="299613E9" w14:textId="77777777">
        <w:tc>
          <w:tcPr>
            <w:tcW w:w="2516" w:type="dxa"/>
            <w:tcBorders>
              <w:top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09726701" w14:textId="77777777" w:rsidR="00071486" w:rsidRDefault="00000000">
            <w:pPr>
              <w:widowControl w:val="0"/>
              <w:spacing w:after="0" w:line="240" w:lineRule="auto"/>
              <w:rPr>
                <w:b/>
              </w:rPr>
            </w:pPr>
            <w:r>
              <w:rPr>
                <w:b/>
              </w:rPr>
              <w:t xml:space="preserve"> 55 à 64 ans</w:t>
            </w:r>
          </w:p>
        </w:tc>
        <w:tc>
          <w:tcPr>
            <w:tcW w:w="2516"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04E647D7" w14:textId="77777777" w:rsidR="00071486" w:rsidRDefault="00000000">
            <w:pPr>
              <w:widowControl w:val="0"/>
              <w:pBdr>
                <w:top w:val="nil"/>
                <w:left w:val="nil"/>
                <w:bottom w:val="nil"/>
                <w:right w:val="nil"/>
                <w:between w:val="nil"/>
              </w:pBdr>
              <w:spacing w:after="0" w:line="240" w:lineRule="auto"/>
              <w:jc w:val="center"/>
            </w:pPr>
            <w:r>
              <w:t>4 (14,7 %)</w:t>
            </w:r>
          </w:p>
        </w:tc>
        <w:tc>
          <w:tcPr>
            <w:tcW w:w="2516"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115EB89C" w14:textId="77777777" w:rsidR="00071486" w:rsidRDefault="00000000">
            <w:pPr>
              <w:widowControl w:val="0"/>
              <w:pBdr>
                <w:top w:val="nil"/>
                <w:left w:val="nil"/>
                <w:bottom w:val="nil"/>
                <w:right w:val="nil"/>
                <w:between w:val="nil"/>
              </w:pBdr>
              <w:spacing w:after="0" w:line="240" w:lineRule="auto"/>
              <w:jc w:val="center"/>
            </w:pPr>
            <w:r>
              <w:t>0</w:t>
            </w:r>
          </w:p>
        </w:tc>
        <w:tc>
          <w:tcPr>
            <w:tcW w:w="2516" w:type="dxa"/>
            <w:tcBorders>
              <w:top w:val="single" w:sz="8" w:space="0" w:color="FFFFFF"/>
              <w:left w:val="single" w:sz="8" w:space="0" w:color="FFFFFF"/>
              <w:bottom w:val="single" w:sz="8" w:space="0" w:color="FFFFFF"/>
            </w:tcBorders>
            <w:shd w:val="clear" w:color="auto" w:fill="auto"/>
            <w:tcMar>
              <w:top w:w="43" w:type="dxa"/>
              <w:left w:w="43" w:type="dxa"/>
              <w:bottom w:w="43" w:type="dxa"/>
              <w:right w:w="43" w:type="dxa"/>
            </w:tcMar>
          </w:tcPr>
          <w:p w14:paraId="79DCE04E" w14:textId="77777777" w:rsidR="00071486" w:rsidRDefault="00000000">
            <w:pPr>
              <w:widowControl w:val="0"/>
              <w:spacing w:after="0" w:line="240" w:lineRule="auto"/>
              <w:jc w:val="center"/>
            </w:pPr>
            <w:r>
              <w:t>4 (14,7 %)</w:t>
            </w:r>
          </w:p>
        </w:tc>
      </w:tr>
      <w:tr w:rsidR="00071486" w14:paraId="6FC13355" w14:textId="77777777">
        <w:tc>
          <w:tcPr>
            <w:tcW w:w="2516" w:type="dxa"/>
            <w:tcBorders>
              <w:top w:val="single" w:sz="8" w:space="0" w:color="FFFFFF"/>
              <w:right w:val="single" w:sz="8" w:space="0" w:color="FFFFFF"/>
            </w:tcBorders>
            <w:shd w:val="clear" w:color="auto" w:fill="auto"/>
            <w:tcMar>
              <w:top w:w="43" w:type="dxa"/>
              <w:left w:w="43" w:type="dxa"/>
              <w:bottom w:w="43" w:type="dxa"/>
              <w:right w:w="43" w:type="dxa"/>
            </w:tcMar>
          </w:tcPr>
          <w:p w14:paraId="7D86A9FB" w14:textId="77777777" w:rsidR="00071486" w:rsidRDefault="00000000">
            <w:pPr>
              <w:widowControl w:val="0"/>
              <w:spacing w:after="0" w:line="240" w:lineRule="auto"/>
              <w:rPr>
                <w:b/>
              </w:rPr>
            </w:pPr>
            <w:r>
              <w:rPr>
                <w:b/>
              </w:rPr>
              <w:t xml:space="preserve"> Plus de 65 ans</w:t>
            </w:r>
          </w:p>
        </w:tc>
        <w:tc>
          <w:tcPr>
            <w:tcW w:w="2516" w:type="dxa"/>
            <w:tcBorders>
              <w:top w:val="single" w:sz="8" w:space="0" w:color="FFFFFF"/>
              <w:left w:val="single" w:sz="8" w:space="0" w:color="FFFFFF"/>
              <w:right w:val="single" w:sz="8" w:space="0" w:color="FFFFFF"/>
            </w:tcBorders>
            <w:shd w:val="clear" w:color="auto" w:fill="auto"/>
            <w:tcMar>
              <w:top w:w="43" w:type="dxa"/>
              <w:left w:w="43" w:type="dxa"/>
              <w:bottom w:w="43" w:type="dxa"/>
              <w:right w:w="43" w:type="dxa"/>
            </w:tcMar>
          </w:tcPr>
          <w:p w14:paraId="3234084E" w14:textId="77777777" w:rsidR="00071486" w:rsidRDefault="00000000">
            <w:pPr>
              <w:widowControl w:val="0"/>
              <w:pBdr>
                <w:top w:val="nil"/>
                <w:left w:val="nil"/>
                <w:bottom w:val="nil"/>
                <w:right w:val="nil"/>
                <w:between w:val="nil"/>
              </w:pBdr>
              <w:spacing w:after="0" w:line="240" w:lineRule="auto"/>
              <w:jc w:val="center"/>
            </w:pPr>
            <w:r>
              <w:t>1 (3,6 %)</w:t>
            </w:r>
          </w:p>
        </w:tc>
        <w:tc>
          <w:tcPr>
            <w:tcW w:w="2516" w:type="dxa"/>
            <w:tcBorders>
              <w:top w:val="single" w:sz="8" w:space="0" w:color="FFFFFF"/>
              <w:left w:val="single" w:sz="8" w:space="0" w:color="FFFFFF"/>
              <w:right w:val="single" w:sz="8" w:space="0" w:color="FFFFFF"/>
            </w:tcBorders>
            <w:shd w:val="clear" w:color="auto" w:fill="auto"/>
            <w:tcMar>
              <w:top w:w="43" w:type="dxa"/>
              <w:left w:w="43" w:type="dxa"/>
              <w:bottom w:w="43" w:type="dxa"/>
              <w:right w:w="43" w:type="dxa"/>
            </w:tcMar>
          </w:tcPr>
          <w:p w14:paraId="112F7793" w14:textId="77777777" w:rsidR="00071486" w:rsidRDefault="00000000">
            <w:pPr>
              <w:widowControl w:val="0"/>
              <w:spacing w:after="0" w:line="240" w:lineRule="auto"/>
              <w:jc w:val="center"/>
            </w:pPr>
            <w:r>
              <w:t>3 (11,1 %)</w:t>
            </w:r>
          </w:p>
        </w:tc>
        <w:tc>
          <w:tcPr>
            <w:tcW w:w="2516" w:type="dxa"/>
            <w:tcBorders>
              <w:top w:val="single" w:sz="8" w:space="0" w:color="FFFFFF"/>
              <w:left w:val="single" w:sz="8" w:space="0" w:color="FFFFFF"/>
            </w:tcBorders>
            <w:shd w:val="clear" w:color="auto" w:fill="auto"/>
            <w:tcMar>
              <w:top w:w="43" w:type="dxa"/>
              <w:left w:w="43" w:type="dxa"/>
              <w:bottom w:w="43" w:type="dxa"/>
              <w:right w:w="43" w:type="dxa"/>
            </w:tcMar>
          </w:tcPr>
          <w:p w14:paraId="650AF0B5" w14:textId="77777777" w:rsidR="00071486" w:rsidRDefault="00000000">
            <w:pPr>
              <w:widowControl w:val="0"/>
              <w:spacing w:after="0" w:line="240" w:lineRule="auto"/>
              <w:jc w:val="center"/>
            </w:pPr>
            <w:r>
              <w:t>4 (14,7 %)</w:t>
            </w:r>
          </w:p>
        </w:tc>
      </w:tr>
      <w:tr w:rsidR="00071486" w14:paraId="4EF91090" w14:textId="77777777">
        <w:tc>
          <w:tcPr>
            <w:tcW w:w="2516" w:type="dxa"/>
            <w:tcBorders>
              <w:right w:val="single" w:sz="8" w:space="0" w:color="FFFFFF"/>
            </w:tcBorders>
            <w:shd w:val="clear" w:color="auto" w:fill="auto"/>
            <w:tcMar>
              <w:top w:w="43" w:type="dxa"/>
              <w:left w:w="43" w:type="dxa"/>
              <w:bottom w:w="43" w:type="dxa"/>
              <w:right w:w="43" w:type="dxa"/>
            </w:tcMar>
          </w:tcPr>
          <w:p w14:paraId="61DB2D14" w14:textId="77777777" w:rsidR="00071486" w:rsidRDefault="00000000">
            <w:pPr>
              <w:widowControl w:val="0"/>
              <w:spacing w:after="0" w:line="240" w:lineRule="auto"/>
              <w:jc w:val="center"/>
              <w:rPr>
                <w:b/>
              </w:rPr>
            </w:pPr>
            <w:r>
              <w:rPr>
                <w:b/>
              </w:rPr>
              <w:t>Total</w:t>
            </w:r>
          </w:p>
        </w:tc>
        <w:tc>
          <w:tcPr>
            <w:tcW w:w="2516" w:type="dxa"/>
            <w:tcBorders>
              <w:left w:val="single" w:sz="8" w:space="0" w:color="FFFFFF"/>
              <w:right w:val="single" w:sz="8" w:space="0" w:color="FFFFFF"/>
            </w:tcBorders>
            <w:shd w:val="clear" w:color="auto" w:fill="auto"/>
            <w:tcMar>
              <w:top w:w="43" w:type="dxa"/>
              <w:left w:w="43" w:type="dxa"/>
              <w:bottom w:w="43" w:type="dxa"/>
              <w:right w:w="43" w:type="dxa"/>
            </w:tcMar>
          </w:tcPr>
          <w:p w14:paraId="305D3301" w14:textId="77777777" w:rsidR="00071486" w:rsidRDefault="00000000">
            <w:pPr>
              <w:widowControl w:val="0"/>
              <w:pBdr>
                <w:top w:val="nil"/>
                <w:left w:val="nil"/>
                <w:bottom w:val="nil"/>
                <w:right w:val="nil"/>
                <w:between w:val="nil"/>
              </w:pBdr>
              <w:spacing w:after="0" w:line="240" w:lineRule="auto"/>
              <w:jc w:val="center"/>
            </w:pPr>
            <w:r>
              <w:t>16 (59,3 %)</w:t>
            </w:r>
          </w:p>
        </w:tc>
        <w:tc>
          <w:tcPr>
            <w:tcW w:w="2516" w:type="dxa"/>
            <w:tcBorders>
              <w:left w:val="single" w:sz="8" w:space="0" w:color="FFFFFF"/>
              <w:right w:val="single" w:sz="8" w:space="0" w:color="FFFFFF"/>
            </w:tcBorders>
            <w:shd w:val="clear" w:color="auto" w:fill="auto"/>
            <w:tcMar>
              <w:top w:w="43" w:type="dxa"/>
              <w:left w:w="43" w:type="dxa"/>
              <w:bottom w:w="43" w:type="dxa"/>
              <w:right w:w="43" w:type="dxa"/>
            </w:tcMar>
          </w:tcPr>
          <w:p w14:paraId="027A85EF" w14:textId="5640645C" w:rsidR="00071486" w:rsidRDefault="00000000">
            <w:pPr>
              <w:widowControl w:val="0"/>
              <w:pBdr>
                <w:top w:val="nil"/>
                <w:left w:val="nil"/>
                <w:bottom w:val="nil"/>
                <w:right w:val="nil"/>
                <w:between w:val="nil"/>
              </w:pBdr>
              <w:spacing w:after="0" w:line="240" w:lineRule="auto"/>
              <w:jc w:val="center"/>
            </w:pPr>
            <w:r>
              <w:t>11 (40,7 %)</w:t>
            </w:r>
          </w:p>
        </w:tc>
        <w:tc>
          <w:tcPr>
            <w:tcW w:w="2516" w:type="dxa"/>
            <w:tcBorders>
              <w:left w:val="single" w:sz="8" w:space="0" w:color="FFFFFF"/>
            </w:tcBorders>
            <w:shd w:val="clear" w:color="auto" w:fill="auto"/>
            <w:tcMar>
              <w:top w:w="43" w:type="dxa"/>
              <w:left w:w="43" w:type="dxa"/>
              <w:bottom w:w="43" w:type="dxa"/>
              <w:right w:w="43" w:type="dxa"/>
            </w:tcMar>
          </w:tcPr>
          <w:p w14:paraId="3170C9C3" w14:textId="77777777" w:rsidR="00071486" w:rsidRDefault="00000000">
            <w:pPr>
              <w:widowControl w:val="0"/>
              <w:pBdr>
                <w:top w:val="nil"/>
                <w:left w:val="nil"/>
                <w:bottom w:val="nil"/>
                <w:right w:val="nil"/>
                <w:between w:val="nil"/>
              </w:pBdr>
              <w:spacing w:after="0" w:line="240" w:lineRule="auto"/>
              <w:jc w:val="center"/>
            </w:pPr>
            <w:r>
              <w:t>27</w:t>
            </w:r>
          </w:p>
        </w:tc>
      </w:tr>
    </w:tbl>
    <w:p w14:paraId="2D13DB2C" w14:textId="77777777" w:rsidR="00071486" w:rsidRDefault="00071486">
      <w:pPr>
        <w:spacing w:after="0" w:line="240" w:lineRule="auto"/>
        <w:rPr>
          <w:rFonts w:ascii="Helvetica Neue" w:eastAsia="Helvetica Neue" w:hAnsi="Helvetica Neue" w:cs="Helvetica Neue"/>
        </w:rPr>
      </w:pPr>
    </w:p>
    <w:p w14:paraId="6DCBE7F2" w14:textId="77777777" w:rsidR="00071486" w:rsidRDefault="00000000">
      <w:pPr>
        <w:pStyle w:val="Heading5"/>
        <w:spacing w:before="120"/>
        <w:rPr>
          <w:b/>
        </w:rPr>
      </w:pPr>
      <w:bookmarkStart w:id="29" w:name="_yo3usbwx2j8y"/>
      <w:bookmarkStart w:id="30" w:name="_Toc151722639"/>
      <w:bookmarkEnd w:id="29"/>
      <w:r>
        <w:rPr>
          <w:b/>
        </w:rPr>
        <w:t xml:space="preserve">Tableau 3 : Répartition des </w:t>
      </w:r>
      <w:proofErr w:type="spellStart"/>
      <w:r>
        <w:rPr>
          <w:b/>
        </w:rPr>
        <w:t>participant·e·s</w:t>
      </w:r>
      <w:proofErr w:type="spellEnd"/>
      <w:r>
        <w:rPr>
          <w:b/>
        </w:rPr>
        <w:t xml:space="preserve"> en fonction de leur genre.</w:t>
      </w:r>
      <w:bookmarkEnd w:id="30"/>
    </w:p>
    <w:tbl>
      <w:tblPr>
        <w:tblStyle w:val="a1"/>
        <w:tblW w:w="10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7"/>
        <w:gridCol w:w="2516"/>
        <w:gridCol w:w="2516"/>
        <w:gridCol w:w="2516"/>
      </w:tblGrid>
      <w:tr w:rsidR="00071486" w14:paraId="183787D0" w14:textId="77777777">
        <w:tc>
          <w:tcPr>
            <w:tcW w:w="2516" w:type="dxa"/>
            <w:tcBorders>
              <w:right w:val="single" w:sz="8" w:space="0" w:color="FFFFFF"/>
            </w:tcBorders>
            <w:shd w:val="clear" w:color="auto" w:fill="auto"/>
            <w:tcMar>
              <w:top w:w="43" w:type="dxa"/>
              <w:left w:w="43" w:type="dxa"/>
              <w:bottom w:w="43" w:type="dxa"/>
              <w:right w:w="43" w:type="dxa"/>
            </w:tcMar>
          </w:tcPr>
          <w:p w14:paraId="428E1B43" w14:textId="77777777" w:rsidR="00071486" w:rsidRDefault="00000000">
            <w:pPr>
              <w:widowControl w:val="0"/>
              <w:spacing w:after="0" w:line="240" w:lineRule="auto"/>
              <w:rPr>
                <w:b/>
              </w:rPr>
            </w:pPr>
            <w:r>
              <w:rPr>
                <w:b/>
              </w:rPr>
              <w:t>Genre :</w:t>
            </w:r>
          </w:p>
        </w:tc>
        <w:tc>
          <w:tcPr>
            <w:tcW w:w="2516" w:type="dxa"/>
            <w:tcBorders>
              <w:left w:val="single" w:sz="8" w:space="0" w:color="FFFFFF"/>
              <w:right w:val="single" w:sz="8" w:space="0" w:color="FFFFFF"/>
            </w:tcBorders>
            <w:shd w:val="clear" w:color="auto" w:fill="auto"/>
            <w:tcMar>
              <w:top w:w="43" w:type="dxa"/>
              <w:left w:w="43" w:type="dxa"/>
              <w:bottom w:w="43" w:type="dxa"/>
              <w:right w:w="43" w:type="dxa"/>
            </w:tcMar>
          </w:tcPr>
          <w:p w14:paraId="60B8A5FD" w14:textId="77777777" w:rsidR="00071486" w:rsidRDefault="00000000">
            <w:pPr>
              <w:widowControl w:val="0"/>
              <w:spacing w:after="0" w:line="240" w:lineRule="auto"/>
              <w:jc w:val="center"/>
              <w:rPr>
                <w:b/>
              </w:rPr>
            </w:pPr>
            <w:r>
              <w:rPr>
                <w:b/>
              </w:rPr>
              <w:t>Personne sourdes</w:t>
            </w:r>
          </w:p>
        </w:tc>
        <w:tc>
          <w:tcPr>
            <w:tcW w:w="2516" w:type="dxa"/>
            <w:tcBorders>
              <w:left w:val="single" w:sz="8" w:space="0" w:color="FFFFFF"/>
              <w:right w:val="single" w:sz="8" w:space="0" w:color="FFFFFF"/>
            </w:tcBorders>
            <w:shd w:val="clear" w:color="auto" w:fill="auto"/>
            <w:tcMar>
              <w:top w:w="43" w:type="dxa"/>
              <w:left w:w="43" w:type="dxa"/>
              <w:bottom w:w="43" w:type="dxa"/>
              <w:right w:w="43" w:type="dxa"/>
            </w:tcMar>
          </w:tcPr>
          <w:p w14:paraId="26C4D425" w14:textId="77777777" w:rsidR="00071486" w:rsidRDefault="00000000">
            <w:pPr>
              <w:widowControl w:val="0"/>
              <w:spacing w:after="0" w:line="240" w:lineRule="auto"/>
              <w:jc w:val="center"/>
              <w:rPr>
                <w:b/>
              </w:rPr>
            </w:pPr>
            <w:r>
              <w:rPr>
                <w:b/>
              </w:rPr>
              <w:t>Personnes malentendantes</w:t>
            </w:r>
          </w:p>
        </w:tc>
        <w:tc>
          <w:tcPr>
            <w:tcW w:w="2516" w:type="dxa"/>
            <w:tcBorders>
              <w:left w:val="single" w:sz="8" w:space="0" w:color="FFFFFF"/>
            </w:tcBorders>
            <w:shd w:val="clear" w:color="auto" w:fill="auto"/>
            <w:tcMar>
              <w:top w:w="43" w:type="dxa"/>
              <w:left w:w="43" w:type="dxa"/>
              <w:bottom w:w="43" w:type="dxa"/>
              <w:right w:w="43" w:type="dxa"/>
            </w:tcMar>
          </w:tcPr>
          <w:p w14:paraId="680B653B" w14:textId="77777777" w:rsidR="00071486" w:rsidRDefault="00000000">
            <w:pPr>
              <w:widowControl w:val="0"/>
              <w:spacing w:after="0" w:line="240" w:lineRule="auto"/>
              <w:jc w:val="center"/>
              <w:rPr>
                <w:b/>
              </w:rPr>
            </w:pPr>
            <w:r>
              <w:rPr>
                <w:b/>
              </w:rPr>
              <w:t>Total</w:t>
            </w:r>
          </w:p>
        </w:tc>
      </w:tr>
      <w:tr w:rsidR="00071486" w14:paraId="368247F0" w14:textId="77777777">
        <w:tc>
          <w:tcPr>
            <w:tcW w:w="2516" w:type="dxa"/>
            <w:tcBorders>
              <w:bottom w:val="single" w:sz="8" w:space="0" w:color="FFFFFF"/>
              <w:right w:val="single" w:sz="8" w:space="0" w:color="FFFFFF"/>
            </w:tcBorders>
            <w:shd w:val="clear" w:color="auto" w:fill="auto"/>
            <w:tcMar>
              <w:top w:w="43" w:type="dxa"/>
              <w:left w:w="43" w:type="dxa"/>
              <w:bottom w:w="43" w:type="dxa"/>
              <w:right w:w="43" w:type="dxa"/>
            </w:tcMar>
          </w:tcPr>
          <w:p w14:paraId="25620850" w14:textId="77777777" w:rsidR="00071486" w:rsidRDefault="00000000">
            <w:pPr>
              <w:widowControl w:val="0"/>
              <w:spacing w:after="0" w:line="240" w:lineRule="auto"/>
              <w:rPr>
                <w:b/>
              </w:rPr>
            </w:pPr>
            <w:r>
              <w:rPr>
                <w:b/>
              </w:rPr>
              <w:t>Homme</w:t>
            </w:r>
          </w:p>
        </w:tc>
        <w:tc>
          <w:tcPr>
            <w:tcW w:w="2516"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3CE59F0F" w14:textId="77777777" w:rsidR="00071486" w:rsidRDefault="00000000">
            <w:pPr>
              <w:widowControl w:val="0"/>
              <w:spacing w:after="0" w:line="240" w:lineRule="auto"/>
              <w:jc w:val="center"/>
            </w:pPr>
            <w:r>
              <w:t>10 (37,0 %)</w:t>
            </w:r>
          </w:p>
        </w:tc>
        <w:tc>
          <w:tcPr>
            <w:tcW w:w="2516"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5013CC8D" w14:textId="77777777" w:rsidR="00071486" w:rsidRDefault="00000000">
            <w:pPr>
              <w:widowControl w:val="0"/>
              <w:spacing w:after="0" w:line="240" w:lineRule="auto"/>
              <w:jc w:val="center"/>
            </w:pPr>
            <w:r>
              <w:t>7 (25,9 %)</w:t>
            </w:r>
          </w:p>
        </w:tc>
        <w:tc>
          <w:tcPr>
            <w:tcW w:w="2516" w:type="dxa"/>
            <w:tcBorders>
              <w:left w:val="single" w:sz="8" w:space="0" w:color="FFFFFF"/>
              <w:bottom w:val="single" w:sz="8" w:space="0" w:color="FFFFFF"/>
            </w:tcBorders>
            <w:shd w:val="clear" w:color="auto" w:fill="auto"/>
            <w:tcMar>
              <w:top w:w="43" w:type="dxa"/>
              <w:left w:w="43" w:type="dxa"/>
              <w:bottom w:w="43" w:type="dxa"/>
              <w:right w:w="43" w:type="dxa"/>
            </w:tcMar>
          </w:tcPr>
          <w:p w14:paraId="229B2FB7" w14:textId="77777777" w:rsidR="00071486" w:rsidRDefault="00000000">
            <w:pPr>
              <w:widowControl w:val="0"/>
              <w:spacing w:after="0" w:line="240" w:lineRule="auto"/>
              <w:jc w:val="center"/>
            </w:pPr>
            <w:r>
              <w:t>17 (63,0 %)</w:t>
            </w:r>
          </w:p>
        </w:tc>
      </w:tr>
      <w:tr w:rsidR="00071486" w14:paraId="78B03B9F" w14:textId="77777777">
        <w:tc>
          <w:tcPr>
            <w:tcW w:w="2516" w:type="dxa"/>
            <w:tcBorders>
              <w:top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3F0E8E77" w14:textId="77777777" w:rsidR="00071486" w:rsidRDefault="00000000">
            <w:pPr>
              <w:widowControl w:val="0"/>
              <w:spacing w:after="0" w:line="240" w:lineRule="auto"/>
              <w:rPr>
                <w:b/>
              </w:rPr>
            </w:pPr>
            <w:r>
              <w:rPr>
                <w:b/>
              </w:rPr>
              <w:t>Femme</w:t>
            </w:r>
          </w:p>
        </w:tc>
        <w:tc>
          <w:tcPr>
            <w:tcW w:w="2516"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2C7C41A0" w14:textId="77777777" w:rsidR="00071486" w:rsidRDefault="00000000">
            <w:pPr>
              <w:widowControl w:val="0"/>
              <w:spacing w:after="0" w:line="240" w:lineRule="auto"/>
              <w:jc w:val="center"/>
            </w:pPr>
            <w:r>
              <w:t>5 (18,5 %)</w:t>
            </w:r>
          </w:p>
        </w:tc>
        <w:tc>
          <w:tcPr>
            <w:tcW w:w="2516"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tcPr>
          <w:p w14:paraId="35EE5B29" w14:textId="77777777" w:rsidR="00071486" w:rsidRDefault="00000000">
            <w:pPr>
              <w:widowControl w:val="0"/>
              <w:spacing w:after="0" w:line="240" w:lineRule="auto"/>
              <w:jc w:val="center"/>
            </w:pPr>
            <w:r>
              <w:t>4 (14,8 %)</w:t>
            </w:r>
          </w:p>
        </w:tc>
        <w:tc>
          <w:tcPr>
            <w:tcW w:w="2516" w:type="dxa"/>
            <w:tcBorders>
              <w:top w:val="single" w:sz="8" w:space="0" w:color="FFFFFF"/>
              <w:left w:val="single" w:sz="8" w:space="0" w:color="FFFFFF"/>
              <w:bottom w:val="single" w:sz="8" w:space="0" w:color="FFFFFF"/>
            </w:tcBorders>
            <w:shd w:val="clear" w:color="auto" w:fill="auto"/>
            <w:tcMar>
              <w:top w:w="43" w:type="dxa"/>
              <w:left w:w="43" w:type="dxa"/>
              <w:bottom w:w="43" w:type="dxa"/>
              <w:right w:w="43" w:type="dxa"/>
            </w:tcMar>
          </w:tcPr>
          <w:p w14:paraId="142C0B0A" w14:textId="77777777" w:rsidR="00071486" w:rsidRDefault="00000000">
            <w:pPr>
              <w:widowControl w:val="0"/>
              <w:spacing w:after="0" w:line="240" w:lineRule="auto"/>
              <w:jc w:val="center"/>
            </w:pPr>
            <w:r>
              <w:t>9 (33,3 %)</w:t>
            </w:r>
          </w:p>
        </w:tc>
      </w:tr>
      <w:tr w:rsidR="00071486" w14:paraId="16566A40" w14:textId="77777777">
        <w:tc>
          <w:tcPr>
            <w:tcW w:w="2516" w:type="dxa"/>
            <w:tcBorders>
              <w:top w:val="single" w:sz="8" w:space="0" w:color="FFFFFF"/>
              <w:right w:val="single" w:sz="8" w:space="0" w:color="FFFFFF"/>
            </w:tcBorders>
            <w:shd w:val="clear" w:color="auto" w:fill="auto"/>
            <w:tcMar>
              <w:top w:w="43" w:type="dxa"/>
              <w:left w:w="43" w:type="dxa"/>
              <w:bottom w:w="43" w:type="dxa"/>
              <w:right w:w="43" w:type="dxa"/>
            </w:tcMar>
          </w:tcPr>
          <w:p w14:paraId="1BEC3D6C" w14:textId="77777777" w:rsidR="00071486" w:rsidRDefault="00000000">
            <w:pPr>
              <w:widowControl w:val="0"/>
              <w:spacing w:after="0" w:line="240" w:lineRule="auto"/>
              <w:rPr>
                <w:b/>
              </w:rPr>
            </w:pPr>
            <w:r>
              <w:rPr>
                <w:b/>
              </w:rPr>
              <w:t xml:space="preserve">Personnes transgenres </w:t>
            </w:r>
          </w:p>
        </w:tc>
        <w:tc>
          <w:tcPr>
            <w:tcW w:w="2516" w:type="dxa"/>
            <w:tcBorders>
              <w:top w:val="single" w:sz="8" w:space="0" w:color="FFFFFF"/>
              <w:left w:val="single" w:sz="8" w:space="0" w:color="FFFFFF"/>
              <w:right w:val="single" w:sz="8" w:space="0" w:color="FFFFFF"/>
            </w:tcBorders>
            <w:shd w:val="clear" w:color="auto" w:fill="auto"/>
            <w:tcMar>
              <w:top w:w="43" w:type="dxa"/>
              <w:left w:w="43" w:type="dxa"/>
              <w:bottom w:w="43" w:type="dxa"/>
              <w:right w:w="43" w:type="dxa"/>
            </w:tcMar>
          </w:tcPr>
          <w:p w14:paraId="50FD190C" w14:textId="77777777" w:rsidR="00071486" w:rsidRDefault="00000000">
            <w:pPr>
              <w:widowControl w:val="0"/>
              <w:spacing w:after="0" w:line="240" w:lineRule="auto"/>
              <w:jc w:val="center"/>
            </w:pPr>
            <w:r>
              <w:t>1 (3,6 %)</w:t>
            </w:r>
          </w:p>
        </w:tc>
        <w:tc>
          <w:tcPr>
            <w:tcW w:w="2516" w:type="dxa"/>
            <w:tcBorders>
              <w:top w:val="single" w:sz="8" w:space="0" w:color="FFFFFF"/>
              <w:left w:val="single" w:sz="8" w:space="0" w:color="FFFFFF"/>
              <w:right w:val="single" w:sz="8" w:space="0" w:color="FFFFFF"/>
            </w:tcBorders>
            <w:shd w:val="clear" w:color="auto" w:fill="auto"/>
            <w:tcMar>
              <w:top w:w="43" w:type="dxa"/>
              <w:left w:w="43" w:type="dxa"/>
              <w:bottom w:w="43" w:type="dxa"/>
              <w:right w:w="43" w:type="dxa"/>
            </w:tcMar>
          </w:tcPr>
          <w:p w14:paraId="18B6BFC6" w14:textId="77777777" w:rsidR="00071486" w:rsidRDefault="00000000">
            <w:pPr>
              <w:widowControl w:val="0"/>
              <w:spacing w:after="0" w:line="240" w:lineRule="auto"/>
              <w:jc w:val="center"/>
            </w:pPr>
            <w:r>
              <w:t>0</w:t>
            </w:r>
          </w:p>
        </w:tc>
        <w:tc>
          <w:tcPr>
            <w:tcW w:w="2516" w:type="dxa"/>
            <w:tcBorders>
              <w:top w:val="single" w:sz="8" w:space="0" w:color="FFFFFF"/>
              <w:left w:val="single" w:sz="8" w:space="0" w:color="FFFFFF"/>
            </w:tcBorders>
            <w:shd w:val="clear" w:color="auto" w:fill="auto"/>
            <w:tcMar>
              <w:top w:w="43" w:type="dxa"/>
              <w:left w:w="43" w:type="dxa"/>
              <w:bottom w:w="43" w:type="dxa"/>
              <w:right w:w="43" w:type="dxa"/>
            </w:tcMar>
          </w:tcPr>
          <w:p w14:paraId="35E7BD50" w14:textId="77777777" w:rsidR="00071486" w:rsidRDefault="00000000">
            <w:pPr>
              <w:widowControl w:val="0"/>
              <w:spacing w:after="0" w:line="240" w:lineRule="auto"/>
              <w:jc w:val="center"/>
            </w:pPr>
            <w:r>
              <w:t>1 (3,6 %)</w:t>
            </w:r>
          </w:p>
        </w:tc>
      </w:tr>
      <w:tr w:rsidR="00071486" w14:paraId="6BEE79E5" w14:textId="77777777">
        <w:tc>
          <w:tcPr>
            <w:tcW w:w="2516" w:type="dxa"/>
            <w:tcBorders>
              <w:right w:val="single" w:sz="8" w:space="0" w:color="FFFFFF"/>
            </w:tcBorders>
            <w:shd w:val="clear" w:color="auto" w:fill="auto"/>
            <w:tcMar>
              <w:top w:w="43" w:type="dxa"/>
              <w:left w:w="43" w:type="dxa"/>
              <w:bottom w:w="43" w:type="dxa"/>
              <w:right w:w="43" w:type="dxa"/>
            </w:tcMar>
          </w:tcPr>
          <w:p w14:paraId="0C36D7F8" w14:textId="77777777" w:rsidR="00071486" w:rsidRDefault="00000000">
            <w:pPr>
              <w:widowControl w:val="0"/>
              <w:spacing w:after="0" w:line="240" w:lineRule="auto"/>
              <w:jc w:val="center"/>
              <w:rPr>
                <w:b/>
              </w:rPr>
            </w:pPr>
            <w:r>
              <w:rPr>
                <w:b/>
              </w:rPr>
              <w:t>Total</w:t>
            </w:r>
          </w:p>
        </w:tc>
        <w:tc>
          <w:tcPr>
            <w:tcW w:w="2516" w:type="dxa"/>
            <w:tcBorders>
              <w:left w:val="single" w:sz="8" w:space="0" w:color="FFFFFF"/>
              <w:right w:val="single" w:sz="8" w:space="0" w:color="FFFFFF"/>
            </w:tcBorders>
            <w:shd w:val="clear" w:color="auto" w:fill="auto"/>
            <w:tcMar>
              <w:top w:w="43" w:type="dxa"/>
              <w:left w:w="43" w:type="dxa"/>
              <w:bottom w:w="43" w:type="dxa"/>
              <w:right w:w="43" w:type="dxa"/>
            </w:tcMar>
          </w:tcPr>
          <w:p w14:paraId="2F07F9D8" w14:textId="77777777" w:rsidR="00071486" w:rsidRDefault="00000000">
            <w:pPr>
              <w:widowControl w:val="0"/>
              <w:spacing w:after="0" w:line="240" w:lineRule="auto"/>
              <w:jc w:val="center"/>
            </w:pPr>
            <w:r>
              <w:t>16 (59,3 %)</w:t>
            </w:r>
          </w:p>
        </w:tc>
        <w:tc>
          <w:tcPr>
            <w:tcW w:w="2516" w:type="dxa"/>
            <w:tcBorders>
              <w:left w:val="single" w:sz="8" w:space="0" w:color="FFFFFF"/>
              <w:right w:val="single" w:sz="8" w:space="0" w:color="FFFFFF"/>
            </w:tcBorders>
            <w:shd w:val="clear" w:color="auto" w:fill="auto"/>
            <w:tcMar>
              <w:top w:w="43" w:type="dxa"/>
              <w:left w:w="43" w:type="dxa"/>
              <w:bottom w:w="43" w:type="dxa"/>
              <w:right w:w="43" w:type="dxa"/>
            </w:tcMar>
          </w:tcPr>
          <w:p w14:paraId="6008A883" w14:textId="4AB9A493" w:rsidR="00071486" w:rsidRDefault="00000000">
            <w:pPr>
              <w:widowControl w:val="0"/>
              <w:spacing w:after="0" w:line="240" w:lineRule="auto"/>
              <w:jc w:val="center"/>
            </w:pPr>
            <w:r>
              <w:t>11 (40,7 %)</w:t>
            </w:r>
          </w:p>
        </w:tc>
        <w:tc>
          <w:tcPr>
            <w:tcW w:w="2516" w:type="dxa"/>
            <w:tcBorders>
              <w:left w:val="single" w:sz="8" w:space="0" w:color="FFFFFF"/>
            </w:tcBorders>
            <w:shd w:val="clear" w:color="auto" w:fill="auto"/>
            <w:tcMar>
              <w:top w:w="43" w:type="dxa"/>
              <w:left w:w="43" w:type="dxa"/>
              <w:bottom w:w="43" w:type="dxa"/>
              <w:right w:w="43" w:type="dxa"/>
            </w:tcMar>
          </w:tcPr>
          <w:p w14:paraId="473589A6" w14:textId="77777777" w:rsidR="00071486" w:rsidRDefault="00000000">
            <w:pPr>
              <w:widowControl w:val="0"/>
              <w:spacing w:after="0" w:line="240" w:lineRule="auto"/>
              <w:jc w:val="center"/>
            </w:pPr>
            <w:r>
              <w:t>27</w:t>
            </w:r>
          </w:p>
        </w:tc>
      </w:tr>
    </w:tbl>
    <w:p w14:paraId="36C7492B" w14:textId="77777777" w:rsidR="00071486" w:rsidRDefault="00071486">
      <w:pPr>
        <w:pStyle w:val="Heading3"/>
      </w:pPr>
    </w:p>
    <w:p w14:paraId="164EBD95" w14:textId="77777777" w:rsidR="00071486" w:rsidRDefault="00000000">
      <w:pPr>
        <w:pStyle w:val="Heading2"/>
      </w:pPr>
      <w:bookmarkStart w:id="31" w:name="lup0ed8uyuir"/>
      <w:bookmarkStart w:id="32" w:name="_Toc151722640"/>
      <w:bookmarkEnd w:id="31"/>
      <w:r>
        <w:t>Explication des deux formats de sous-titres</w:t>
      </w:r>
      <w:bookmarkEnd w:id="32"/>
    </w:p>
    <w:p w14:paraId="65CBB121" w14:textId="3D92B67F" w:rsidR="00071486" w:rsidRDefault="00000000">
      <w:pPr>
        <w:spacing w:before="200"/>
      </w:pPr>
      <w:r>
        <w:t xml:space="preserve">Dans le cadre de cette étude, nous avons introduit une nouvelle approche de sous-titrage visant à réduire le nombre de mots tout en préservant l’accessibilité de l’information. </w:t>
      </w:r>
      <w:hyperlink w:anchor="_r3a3zc59mzr6">
        <w:r>
          <w:rPr>
            <w:color w:val="1155CC"/>
            <w:u w:val="single"/>
          </w:rPr>
          <w:t>Le tableau n° 4</w:t>
        </w:r>
      </w:hyperlink>
      <w:r>
        <w:t xml:space="preserve"> présente une répartition des différences dans les caractéristiques techniques des séquences vidéo en fonction du format de sous-titrage pour chaque sport.</w:t>
      </w:r>
    </w:p>
    <w:p w14:paraId="52571B13" w14:textId="77777777" w:rsidR="00071486" w:rsidRDefault="00000000">
      <w:pPr>
        <w:pStyle w:val="Heading5"/>
        <w:rPr>
          <w:b/>
        </w:rPr>
      </w:pPr>
      <w:bookmarkStart w:id="33" w:name="_r3a3zc59mzr6"/>
      <w:bookmarkStart w:id="34" w:name="_Toc151722641"/>
      <w:bookmarkEnd w:id="33"/>
      <w:r>
        <w:rPr>
          <w:b/>
        </w:rPr>
        <w:t xml:space="preserve">Tableau 4 : Les différents styles de sous-titres auxquels les </w:t>
      </w:r>
      <w:proofErr w:type="spellStart"/>
      <w:r>
        <w:rPr>
          <w:b/>
        </w:rPr>
        <w:t>participant·e·s</w:t>
      </w:r>
      <w:proofErr w:type="spellEnd"/>
      <w:r>
        <w:rPr>
          <w:b/>
        </w:rPr>
        <w:t xml:space="preserve"> ont été </w:t>
      </w:r>
      <w:proofErr w:type="spellStart"/>
      <w:r>
        <w:rPr>
          <w:b/>
        </w:rPr>
        <w:t>exposé·e·s</w:t>
      </w:r>
      <w:proofErr w:type="spellEnd"/>
      <w:r>
        <w:rPr>
          <w:b/>
        </w:rPr>
        <w:t xml:space="preserve"> et qu’ils/elles ont commentés durant l’étude.</w:t>
      </w:r>
      <w:bookmarkEnd w:id="34"/>
    </w:p>
    <w:tbl>
      <w:tblPr>
        <w:tblStyle w:val="a2"/>
        <w:tblW w:w="99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6"/>
        <w:gridCol w:w="2048"/>
        <w:gridCol w:w="2047"/>
        <w:gridCol w:w="2047"/>
        <w:gridCol w:w="2047"/>
      </w:tblGrid>
      <w:tr w:rsidR="00071486" w14:paraId="0FC8FCB8" w14:textId="77777777">
        <w:trPr>
          <w:trHeight w:val="314"/>
          <w:jc w:val="center"/>
        </w:trPr>
        <w:tc>
          <w:tcPr>
            <w:tcW w:w="1785" w:type="dxa"/>
            <w:tcBorders>
              <w:bottom w:val="single" w:sz="8" w:space="0" w:color="FFFFFF"/>
              <w:right w:val="single" w:sz="8" w:space="0" w:color="FFFFFF"/>
            </w:tcBorders>
            <w:shd w:val="clear" w:color="auto" w:fill="auto"/>
            <w:tcMar>
              <w:top w:w="43" w:type="dxa"/>
              <w:left w:w="43" w:type="dxa"/>
              <w:bottom w:w="43" w:type="dxa"/>
              <w:right w:w="43" w:type="dxa"/>
            </w:tcMar>
            <w:vAlign w:val="center"/>
          </w:tcPr>
          <w:p w14:paraId="72B68ACE" w14:textId="77777777" w:rsidR="00071486" w:rsidRDefault="00071486">
            <w:pPr>
              <w:widowControl w:val="0"/>
              <w:pBdr>
                <w:top w:val="nil"/>
                <w:left w:val="nil"/>
                <w:bottom w:val="nil"/>
                <w:right w:val="nil"/>
                <w:between w:val="nil"/>
              </w:pBdr>
              <w:spacing w:after="0" w:line="240" w:lineRule="auto"/>
            </w:pPr>
          </w:p>
        </w:tc>
        <w:tc>
          <w:tcPr>
            <w:tcW w:w="4094" w:type="dxa"/>
            <w:gridSpan w:val="2"/>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5FF7F80C" w14:textId="77777777" w:rsidR="00071486" w:rsidRDefault="00000000">
            <w:pPr>
              <w:widowControl w:val="0"/>
              <w:pBdr>
                <w:top w:val="nil"/>
                <w:left w:val="nil"/>
                <w:bottom w:val="nil"/>
                <w:right w:val="nil"/>
                <w:between w:val="nil"/>
              </w:pBdr>
              <w:spacing w:after="0" w:line="240" w:lineRule="auto"/>
              <w:jc w:val="center"/>
              <w:rPr>
                <w:b/>
              </w:rPr>
            </w:pPr>
            <w:r>
              <w:rPr>
                <w:b/>
              </w:rPr>
              <w:t>Basketball</w:t>
            </w:r>
          </w:p>
        </w:tc>
        <w:tc>
          <w:tcPr>
            <w:tcW w:w="4094" w:type="dxa"/>
            <w:gridSpan w:val="2"/>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46F3BDE6" w14:textId="77777777" w:rsidR="00071486" w:rsidRDefault="00000000">
            <w:pPr>
              <w:widowControl w:val="0"/>
              <w:pBdr>
                <w:top w:val="nil"/>
                <w:left w:val="nil"/>
                <w:bottom w:val="nil"/>
                <w:right w:val="nil"/>
                <w:between w:val="nil"/>
              </w:pBdr>
              <w:spacing w:after="0" w:line="240" w:lineRule="auto"/>
              <w:jc w:val="center"/>
              <w:rPr>
                <w:b/>
              </w:rPr>
            </w:pPr>
            <w:r>
              <w:rPr>
                <w:b/>
              </w:rPr>
              <w:t>Hockey</w:t>
            </w:r>
          </w:p>
        </w:tc>
      </w:tr>
      <w:tr w:rsidR="00071486" w14:paraId="7BE1D0E5" w14:textId="77777777">
        <w:trPr>
          <w:trHeight w:val="314"/>
          <w:jc w:val="center"/>
        </w:trPr>
        <w:tc>
          <w:tcPr>
            <w:tcW w:w="1785" w:type="dxa"/>
            <w:tcBorders>
              <w:top w:val="single" w:sz="8" w:space="0" w:color="FFFFFF"/>
              <w:right w:val="single" w:sz="8" w:space="0" w:color="FFFFFF"/>
            </w:tcBorders>
            <w:shd w:val="clear" w:color="auto" w:fill="auto"/>
            <w:tcMar>
              <w:top w:w="43" w:type="dxa"/>
              <w:left w:w="43" w:type="dxa"/>
              <w:bottom w:w="43" w:type="dxa"/>
              <w:right w:w="43" w:type="dxa"/>
            </w:tcMar>
            <w:vAlign w:val="center"/>
          </w:tcPr>
          <w:p w14:paraId="2C93E25B" w14:textId="77777777" w:rsidR="00071486" w:rsidRDefault="00000000">
            <w:pPr>
              <w:widowControl w:val="0"/>
              <w:pBdr>
                <w:top w:val="nil"/>
                <w:left w:val="nil"/>
                <w:bottom w:val="nil"/>
                <w:right w:val="nil"/>
                <w:between w:val="nil"/>
              </w:pBdr>
              <w:spacing w:after="0" w:line="240" w:lineRule="auto"/>
              <w:rPr>
                <w:b/>
              </w:rPr>
            </w:pPr>
            <w:r>
              <w:rPr>
                <w:b/>
              </w:rPr>
              <w:t>Format des sous-titres</w:t>
            </w:r>
          </w:p>
        </w:tc>
        <w:tc>
          <w:tcPr>
            <w:tcW w:w="2047" w:type="dxa"/>
            <w:tcBorders>
              <w:top w:val="single" w:sz="8" w:space="0" w:color="FFFFFF"/>
              <w:left w:val="single" w:sz="8" w:space="0" w:color="FFFFFF"/>
              <w:right w:val="single" w:sz="8" w:space="0" w:color="FFFFFF"/>
            </w:tcBorders>
            <w:shd w:val="clear" w:color="auto" w:fill="auto"/>
            <w:tcMar>
              <w:top w:w="43" w:type="dxa"/>
              <w:left w:w="43" w:type="dxa"/>
              <w:bottom w:w="43" w:type="dxa"/>
              <w:right w:w="43" w:type="dxa"/>
            </w:tcMar>
            <w:vAlign w:val="center"/>
          </w:tcPr>
          <w:p w14:paraId="405F89C9" w14:textId="77777777" w:rsidR="00071486" w:rsidRDefault="00000000">
            <w:pPr>
              <w:widowControl w:val="0"/>
              <w:pBdr>
                <w:top w:val="nil"/>
                <w:left w:val="nil"/>
                <w:bottom w:val="nil"/>
                <w:right w:val="nil"/>
                <w:between w:val="nil"/>
              </w:pBdr>
              <w:spacing w:after="0" w:line="240" w:lineRule="auto"/>
              <w:jc w:val="center"/>
              <w:rPr>
                <w:b/>
              </w:rPr>
            </w:pPr>
            <w:r>
              <w:rPr>
                <w:b/>
              </w:rPr>
              <w:t>Transcription des commentaires</w:t>
            </w:r>
          </w:p>
        </w:tc>
        <w:tc>
          <w:tcPr>
            <w:tcW w:w="2047" w:type="dxa"/>
            <w:tcBorders>
              <w:top w:val="single" w:sz="8" w:space="0" w:color="FFFFFF"/>
              <w:left w:val="single" w:sz="8" w:space="0" w:color="FFFFFF"/>
              <w:right w:val="single" w:sz="8" w:space="0" w:color="FFFFFF"/>
            </w:tcBorders>
            <w:shd w:val="clear" w:color="auto" w:fill="auto"/>
            <w:tcMar>
              <w:top w:w="43" w:type="dxa"/>
              <w:left w:w="43" w:type="dxa"/>
              <w:bottom w:w="43" w:type="dxa"/>
              <w:right w:w="43" w:type="dxa"/>
            </w:tcMar>
            <w:vAlign w:val="center"/>
          </w:tcPr>
          <w:p w14:paraId="2C35BDDC" w14:textId="77777777" w:rsidR="00071486" w:rsidRDefault="00000000">
            <w:pPr>
              <w:widowControl w:val="0"/>
              <w:pBdr>
                <w:top w:val="nil"/>
                <w:left w:val="nil"/>
                <w:bottom w:val="nil"/>
                <w:right w:val="nil"/>
                <w:between w:val="nil"/>
              </w:pBdr>
              <w:spacing w:after="0" w:line="240" w:lineRule="auto"/>
              <w:jc w:val="center"/>
              <w:rPr>
                <w:b/>
              </w:rPr>
            </w:pPr>
            <w:r>
              <w:rPr>
                <w:b/>
              </w:rPr>
              <w:t>Sous-titrage intégral</w:t>
            </w:r>
          </w:p>
        </w:tc>
        <w:tc>
          <w:tcPr>
            <w:tcW w:w="2047" w:type="dxa"/>
            <w:tcBorders>
              <w:top w:val="single" w:sz="8" w:space="0" w:color="FFFFFF"/>
              <w:left w:val="single" w:sz="8" w:space="0" w:color="FFFFFF"/>
              <w:right w:val="single" w:sz="8" w:space="0" w:color="FFFFFF"/>
            </w:tcBorders>
            <w:shd w:val="clear" w:color="auto" w:fill="auto"/>
            <w:tcMar>
              <w:top w:w="43" w:type="dxa"/>
              <w:left w:w="43" w:type="dxa"/>
              <w:bottom w:w="43" w:type="dxa"/>
              <w:right w:w="43" w:type="dxa"/>
            </w:tcMar>
            <w:vAlign w:val="center"/>
          </w:tcPr>
          <w:p w14:paraId="24C17298" w14:textId="77777777" w:rsidR="00071486" w:rsidRDefault="00000000">
            <w:pPr>
              <w:widowControl w:val="0"/>
              <w:pBdr>
                <w:top w:val="nil"/>
                <w:left w:val="nil"/>
                <w:bottom w:val="nil"/>
                <w:right w:val="nil"/>
                <w:between w:val="nil"/>
              </w:pBdr>
              <w:spacing w:after="0" w:line="240" w:lineRule="auto"/>
              <w:jc w:val="center"/>
              <w:rPr>
                <w:b/>
              </w:rPr>
            </w:pPr>
            <w:r>
              <w:rPr>
                <w:b/>
              </w:rPr>
              <w:t>Transcription des commentaires</w:t>
            </w:r>
          </w:p>
        </w:tc>
        <w:tc>
          <w:tcPr>
            <w:tcW w:w="2047" w:type="dxa"/>
            <w:tcBorders>
              <w:top w:val="single" w:sz="8" w:space="0" w:color="FFFFFF"/>
              <w:left w:val="single" w:sz="8" w:space="0" w:color="FFFFFF"/>
            </w:tcBorders>
            <w:shd w:val="clear" w:color="auto" w:fill="auto"/>
            <w:tcMar>
              <w:top w:w="43" w:type="dxa"/>
              <w:left w:w="43" w:type="dxa"/>
              <w:bottom w:w="43" w:type="dxa"/>
              <w:right w:w="43" w:type="dxa"/>
            </w:tcMar>
            <w:vAlign w:val="center"/>
          </w:tcPr>
          <w:p w14:paraId="2C560A9C" w14:textId="77777777" w:rsidR="00071486" w:rsidRDefault="00000000">
            <w:pPr>
              <w:widowControl w:val="0"/>
              <w:pBdr>
                <w:top w:val="nil"/>
                <w:left w:val="nil"/>
                <w:bottom w:val="nil"/>
                <w:right w:val="nil"/>
                <w:between w:val="nil"/>
              </w:pBdr>
              <w:spacing w:after="0" w:line="240" w:lineRule="auto"/>
              <w:jc w:val="center"/>
              <w:rPr>
                <w:b/>
              </w:rPr>
            </w:pPr>
            <w:r>
              <w:rPr>
                <w:b/>
              </w:rPr>
              <w:t>Sous-titrage intégral</w:t>
            </w:r>
          </w:p>
        </w:tc>
      </w:tr>
      <w:tr w:rsidR="00071486" w14:paraId="3D2B8078" w14:textId="77777777">
        <w:trPr>
          <w:trHeight w:val="314"/>
          <w:jc w:val="center"/>
        </w:trPr>
        <w:tc>
          <w:tcPr>
            <w:tcW w:w="1785" w:type="dxa"/>
            <w:tcBorders>
              <w:bottom w:val="single" w:sz="8" w:space="0" w:color="FFFFFF"/>
              <w:right w:val="single" w:sz="8" w:space="0" w:color="FFFFFF"/>
            </w:tcBorders>
            <w:shd w:val="clear" w:color="auto" w:fill="auto"/>
            <w:tcMar>
              <w:top w:w="43" w:type="dxa"/>
              <w:left w:w="43" w:type="dxa"/>
              <w:bottom w:w="43" w:type="dxa"/>
              <w:right w:w="43" w:type="dxa"/>
            </w:tcMar>
            <w:vAlign w:val="center"/>
          </w:tcPr>
          <w:p w14:paraId="2117D34F" w14:textId="77777777" w:rsidR="00071486" w:rsidRDefault="00000000">
            <w:pPr>
              <w:widowControl w:val="0"/>
              <w:pBdr>
                <w:top w:val="nil"/>
                <w:left w:val="nil"/>
                <w:bottom w:val="nil"/>
                <w:right w:val="nil"/>
                <w:between w:val="nil"/>
              </w:pBdr>
              <w:spacing w:after="0" w:line="240" w:lineRule="auto"/>
              <w:rPr>
                <w:b/>
              </w:rPr>
            </w:pPr>
            <w:r>
              <w:rPr>
                <w:b/>
              </w:rPr>
              <w:t>Délai moyen</w:t>
            </w:r>
          </w:p>
        </w:tc>
        <w:tc>
          <w:tcPr>
            <w:tcW w:w="2047"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2A1249C1" w14:textId="77777777" w:rsidR="00071486" w:rsidRDefault="00000000">
            <w:pPr>
              <w:widowControl w:val="0"/>
              <w:pBdr>
                <w:top w:val="nil"/>
                <w:left w:val="nil"/>
                <w:bottom w:val="nil"/>
                <w:right w:val="nil"/>
                <w:between w:val="nil"/>
              </w:pBdr>
              <w:spacing w:after="0" w:line="240" w:lineRule="auto"/>
              <w:jc w:val="center"/>
            </w:pPr>
            <w:r>
              <w:t>Environ 2 secondes</w:t>
            </w:r>
          </w:p>
        </w:tc>
        <w:tc>
          <w:tcPr>
            <w:tcW w:w="2047"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1AA4329A" w14:textId="77777777" w:rsidR="00071486" w:rsidRDefault="00000000">
            <w:pPr>
              <w:widowControl w:val="0"/>
              <w:pBdr>
                <w:top w:val="nil"/>
                <w:left w:val="nil"/>
                <w:bottom w:val="nil"/>
                <w:right w:val="nil"/>
                <w:between w:val="nil"/>
              </w:pBdr>
              <w:spacing w:after="0" w:line="240" w:lineRule="auto"/>
              <w:jc w:val="center"/>
            </w:pPr>
            <w:r>
              <w:t>Environ 4 secondes</w:t>
            </w:r>
          </w:p>
        </w:tc>
        <w:tc>
          <w:tcPr>
            <w:tcW w:w="2047" w:type="dxa"/>
            <w:tcBorders>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28360E58" w14:textId="77777777" w:rsidR="00071486" w:rsidRDefault="00000000">
            <w:pPr>
              <w:widowControl w:val="0"/>
              <w:spacing w:after="0" w:line="240" w:lineRule="auto"/>
              <w:jc w:val="center"/>
            </w:pPr>
            <w:r>
              <w:t>Environ 2 secondes</w:t>
            </w:r>
          </w:p>
        </w:tc>
        <w:tc>
          <w:tcPr>
            <w:tcW w:w="2047" w:type="dxa"/>
            <w:tcBorders>
              <w:left w:val="single" w:sz="8" w:space="0" w:color="FFFFFF"/>
              <w:bottom w:val="single" w:sz="8" w:space="0" w:color="FFFFFF"/>
            </w:tcBorders>
            <w:shd w:val="clear" w:color="auto" w:fill="auto"/>
            <w:tcMar>
              <w:top w:w="43" w:type="dxa"/>
              <w:left w:w="43" w:type="dxa"/>
              <w:bottom w:w="43" w:type="dxa"/>
              <w:right w:w="43" w:type="dxa"/>
            </w:tcMar>
            <w:vAlign w:val="center"/>
          </w:tcPr>
          <w:p w14:paraId="3CD11BFD" w14:textId="77777777" w:rsidR="00071486" w:rsidRDefault="00000000">
            <w:pPr>
              <w:widowControl w:val="0"/>
              <w:spacing w:after="0" w:line="240" w:lineRule="auto"/>
              <w:jc w:val="center"/>
            </w:pPr>
            <w:r>
              <w:t>Environ 4 secondes</w:t>
            </w:r>
          </w:p>
        </w:tc>
      </w:tr>
      <w:tr w:rsidR="00071486" w14:paraId="7A493774" w14:textId="77777777">
        <w:trPr>
          <w:trHeight w:val="314"/>
          <w:jc w:val="center"/>
        </w:trPr>
        <w:tc>
          <w:tcPr>
            <w:tcW w:w="1785" w:type="dxa"/>
            <w:tcBorders>
              <w:top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48EC40FA" w14:textId="77777777" w:rsidR="00071486" w:rsidRDefault="00000000">
            <w:pPr>
              <w:widowControl w:val="0"/>
              <w:pBdr>
                <w:top w:val="nil"/>
                <w:left w:val="nil"/>
                <w:bottom w:val="nil"/>
                <w:right w:val="nil"/>
                <w:between w:val="nil"/>
              </w:pBdr>
              <w:spacing w:after="0" w:line="240" w:lineRule="auto"/>
              <w:rPr>
                <w:b/>
              </w:rPr>
            </w:pPr>
            <w:r>
              <w:rPr>
                <w:b/>
              </w:rPr>
              <w:t>Emplacement</w:t>
            </w:r>
          </w:p>
        </w:tc>
        <w:tc>
          <w:tcPr>
            <w:tcW w:w="2047"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2A85984E" w14:textId="77777777" w:rsidR="00071486" w:rsidRDefault="00000000">
            <w:pPr>
              <w:widowControl w:val="0"/>
              <w:spacing w:after="0" w:line="240" w:lineRule="auto"/>
              <w:jc w:val="center"/>
            </w:pPr>
            <w:r>
              <w:t>Centré en bas</w:t>
            </w:r>
          </w:p>
        </w:tc>
        <w:tc>
          <w:tcPr>
            <w:tcW w:w="2047"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6230A7E0" w14:textId="77777777" w:rsidR="00071486" w:rsidRDefault="00000000">
            <w:pPr>
              <w:widowControl w:val="0"/>
              <w:spacing w:after="0" w:line="240" w:lineRule="auto"/>
              <w:jc w:val="center"/>
            </w:pPr>
            <w:r>
              <w:t xml:space="preserve">Justifié en haut </w:t>
            </w:r>
          </w:p>
        </w:tc>
        <w:tc>
          <w:tcPr>
            <w:tcW w:w="2047" w:type="dxa"/>
            <w:tcBorders>
              <w:top w:val="single" w:sz="8" w:space="0" w:color="FFFFFF"/>
              <w:left w:val="single" w:sz="8" w:space="0" w:color="FFFFFF"/>
              <w:bottom w:val="single" w:sz="8" w:space="0" w:color="FFFFFF"/>
              <w:right w:val="single" w:sz="8" w:space="0" w:color="FFFFFF"/>
            </w:tcBorders>
            <w:shd w:val="clear" w:color="auto" w:fill="auto"/>
            <w:tcMar>
              <w:top w:w="43" w:type="dxa"/>
              <w:left w:w="43" w:type="dxa"/>
              <w:bottom w:w="43" w:type="dxa"/>
              <w:right w:w="43" w:type="dxa"/>
            </w:tcMar>
            <w:vAlign w:val="center"/>
          </w:tcPr>
          <w:p w14:paraId="7FA51769" w14:textId="77777777" w:rsidR="00071486" w:rsidRDefault="00000000">
            <w:pPr>
              <w:widowControl w:val="0"/>
              <w:pBdr>
                <w:top w:val="nil"/>
                <w:left w:val="nil"/>
                <w:bottom w:val="nil"/>
                <w:right w:val="nil"/>
                <w:between w:val="nil"/>
              </w:pBdr>
              <w:spacing w:after="0" w:line="240" w:lineRule="auto"/>
              <w:jc w:val="center"/>
            </w:pPr>
            <w:r>
              <w:t>Centré en bas</w:t>
            </w:r>
          </w:p>
        </w:tc>
        <w:tc>
          <w:tcPr>
            <w:tcW w:w="2047" w:type="dxa"/>
            <w:tcBorders>
              <w:top w:val="single" w:sz="8" w:space="0" w:color="FFFFFF"/>
              <w:left w:val="single" w:sz="8" w:space="0" w:color="FFFFFF"/>
              <w:bottom w:val="single" w:sz="8" w:space="0" w:color="FFFFFF"/>
            </w:tcBorders>
            <w:shd w:val="clear" w:color="auto" w:fill="auto"/>
            <w:tcMar>
              <w:top w:w="43" w:type="dxa"/>
              <w:left w:w="43" w:type="dxa"/>
              <w:bottom w:w="43" w:type="dxa"/>
              <w:right w:w="43" w:type="dxa"/>
            </w:tcMar>
            <w:vAlign w:val="center"/>
          </w:tcPr>
          <w:p w14:paraId="7B800B94" w14:textId="77777777" w:rsidR="00071486" w:rsidRDefault="00000000">
            <w:pPr>
              <w:widowControl w:val="0"/>
              <w:pBdr>
                <w:top w:val="nil"/>
                <w:left w:val="nil"/>
                <w:bottom w:val="nil"/>
                <w:right w:val="nil"/>
                <w:between w:val="nil"/>
              </w:pBdr>
              <w:spacing w:after="0" w:line="240" w:lineRule="auto"/>
              <w:jc w:val="center"/>
            </w:pPr>
            <w:r>
              <w:t>Justifié en bas</w:t>
            </w:r>
          </w:p>
        </w:tc>
      </w:tr>
      <w:tr w:rsidR="00071486" w14:paraId="2CBA1C5E" w14:textId="77777777">
        <w:trPr>
          <w:trHeight w:val="332"/>
          <w:jc w:val="center"/>
        </w:trPr>
        <w:tc>
          <w:tcPr>
            <w:tcW w:w="1785" w:type="dxa"/>
            <w:tcBorders>
              <w:top w:val="single" w:sz="8" w:space="0" w:color="FFFFFF"/>
              <w:left w:val="single" w:sz="4" w:space="0" w:color="000000"/>
              <w:bottom w:val="single" w:sz="4" w:space="0" w:color="FFFFFF"/>
              <w:right w:val="single" w:sz="4" w:space="0" w:color="FFFFFF"/>
            </w:tcBorders>
            <w:tcMar>
              <w:top w:w="43" w:type="dxa"/>
              <w:left w:w="43" w:type="dxa"/>
              <w:bottom w:w="43" w:type="dxa"/>
              <w:right w:w="43" w:type="dxa"/>
            </w:tcMar>
            <w:vAlign w:val="center"/>
          </w:tcPr>
          <w:p w14:paraId="65E165BC" w14:textId="77777777" w:rsidR="00071486" w:rsidRDefault="00000000">
            <w:pPr>
              <w:widowControl w:val="0"/>
              <w:spacing w:after="0"/>
              <w:rPr>
                <w:b/>
              </w:rPr>
            </w:pPr>
            <w:r>
              <w:rPr>
                <w:b/>
              </w:rPr>
              <w:t>Vitesse moyenne (mots par minute) :</w:t>
            </w:r>
          </w:p>
        </w:tc>
        <w:tc>
          <w:tcPr>
            <w:tcW w:w="2047" w:type="dxa"/>
            <w:tcBorders>
              <w:top w:val="single" w:sz="8" w:space="0" w:color="FFFFFF"/>
              <w:left w:val="single" w:sz="4" w:space="0" w:color="FFFFFF"/>
              <w:bottom w:val="single" w:sz="4" w:space="0" w:color="FFFFFF"/>
              <w:right w:val="single" w:sz="4" w:space="0" w:color="FFFFFF"/>
            </w:tcBorders>
            <w:tcMar>
              <w:top w:w="43" w:type="dxa"/>
              <w:left w:w="43" w:type="dxa"/>
              <w:bottom w:w="43" w:type="dxa"/>
              <w:right w:w="43" w:type="dxa"/>
            </w:tcMar>
            <w:vAlign w:val="center"/>
          </w:tcPr>
          <w:p w14:paraId="1308BC3C" w14:textId="77777777" w:rsidR="00071486" w:rsidRDefault="00000000">
            <w:pPr>
              <w:widowControl w:val="0"/>
              <w:spacing w:after="0"/>
              <w:jc w:val="center"/>
            </w:pPr>
            <w:r>
              <w:t>Environ 210</w:t>
            </w:r>
          </w:p>
        </w:tc>
        <w:tc>
          <w:tcPr>
            <w:tcW w:w="2047" w:type="dxa"/>
            <w:tcBorders>
              <w:top w:val="single" w:sz="8" w:space="0" w:color="FFFFFF"/>
              <w:left w:val="single" w:sz="4" w:space="0" w:color="FFFFFF"/>
              <w:bottom w:val="single" w:sz="4" w:space="0" w:color="FFFFFF"/>
              <w:right w:val="single" w:sz="4" w:space="0" w:color="FFFFFF"/>
            </w:tcBorders>
            <w:tcMar>
              <w:top w:w="43" w:type="dxa"/>
              <w:left w:w="43" w:type="dxa"/>
              <w:bottom w:w="43" w:type="dxa"/>
              <w:right w:w="43" w:type="dxa"/>
            </w:tcMar>
            <w:vAlign w:val="center"/>
          </w:tcPr>
          <w:p w14:paraId="512A0298" w14:textId="77777777" w:rsidR="00071486" w:rsidRDefault="00000000">
            <w:pPr>
              <w:widowControl w:val="0"/>
              <w:spacing w:after="0"/>
              <w:jc w:val="center"/>
            </w:pPr>
            <w:r>
              <w:t>Environ 165</w:t>
            </w:r>
          </w:p>
        </w:tc>
        <w:tc>
          <w:tcPr>
            <w:tcW w:w="2047" w:type="dxa"/>
            <w:tcBorders>
              <w:top w:val="single" w:sz="8" w:space="0" w:color="FFFFFF"/>
              <w:left w:val="single" w:sz="4" w:space="0" w:color="FFFFFF"/>
              <w:bottom w:val="single" w:sz="4" w:space="0" w:color="FFFFFF"/>
              <w:right w:val="single" w:sz="4" w:space="0" w:color="FFFFFF"/>
            </w:tcBorders>
            <w:tcMar>
              <w:top w:w="43" w:type="dxa"/>
              <w:left w:w="43" w:type="dxa"/>
              <w:bottom w:w="43" w:type="dxa"/>
              <w:right w:w="43" w:type="dxa"/>
            </w:tcMar>
            <w:vAlign w:val="center"/>
          </w:tcPr>
          <w:p w14:paraId="53B24EEB" w14:textId="77777777" w:rsidR="00071486" w:rsidRDefault="00000000">
            <w:pPr>
              <w:widowControl w:val="0"/>
              <w:spacing w:after="0"/>
              <w:jc w:val="center"/>
            </w:pPr>
            <w:r>
              <w:t>Environ 153</w:t>
            </w:r>
          </w:p>
        </w:tc>
        <w:tc>
          <w:tcPr>
            <w:tcW w:w="2047" w:type="dxa"/>
            <w:tcBorders>
              <w:top w:val="single" w:sz="8" w:space="0" w:color="FFFFFF"/>
              <w:left w:val="single" w:sz="4" w:space="0" w:color="FFFFFF"/>
              <w:bottom w:val="single" w:sz="4" w:space="0" w:color="FFFFFF"/>
            </w:tcBorders>
            <w:tcMar>
              <w:top w:w="43" w:type="dxa"/>
              <w:left w:w="43" w:type="dxa"/>
              <w:bottom w:w="43" w:type="dxa"/>
              <w:right w:w="43" w:type="dxa"/>
            </w:tcMar>
            <w:vAlign w:val="center"/>
          </w:tcPr>
          <w:p w14:paraId="7A8A7512" w14:textId="77777777" w:rsidR="00071486" w:rsidRDefault="00000000">
            <w:pPr>
              <w:widowControl w:val="0"/>
              <w:spacing w:after="0"/>
              <w:jc w:val="center"/>
            </w:pPr>
            <w:r>
              <w:t>Environ 137</w:t>
            </w:r>
          </w:p>
        </w:tc>
      </w:tr>
      <w:tr w:rsidR="00071486" w14:paraId="6B7728EB" w14:textId="77777777">
        <w:trPr>
          <w:trHeight w:val="549"/>
          <w:jc w:val="center"/>
        </w:trPr>
        <w:tc>
          <w:tcPr>
            <w:tcW w:w="1785" w:type="dxa"/>
            <w:tcBorders>
              <w:top w:val="single" w:sz="4" w:space="0" w:color="FFFFFF"/>
              <w:right w:val="single" w:sz="8" w:space="0" w:color="FFFFFF"/>
            </w:tcBorders>
            <w:shd w:val="clear" w:color="auto" w:fill="auto"/>
            <w:tcMar>
              <w:top w:w="43" w:type="dxa"/>
              <w:left w:w="43" w:type="dxa"/>
              <w:bottom w:w="43" w:type="dxa"/>
              <w:right w:w="43" w:type="dxa"/>
            </w:tcMar>
            <w:vAlign w:val="center"/>
          </w:tcPr>
          <w:p w14:paraId="7ADEFA1E" w14:textId="77777777" w:rsidR="00071486" w:rsidRDefault="00000000">
            <w:pPr>
              <w:widowControl w:val="0"/>
              <w:pBdr>
                <w:top w:val="nil"/>
                <w:left w:val="nil"/>
                <w:bottom w:val="nil"/>
                <w:right w:val="nil"/>
                <w:between w:val="nil"/>
              </w:pBdr>
              <w:spacing w:after="0" w:line="240" w:lineRule="auto"/>
              <w:rPr>
                <w:b/>
              </w:rPr>
            </w:pPr>
            <w:r>
              <w:rPr>
                <w:b/>
              </w:rPr>
              <w:t>Table des matières</w:t>
            </w:r>
          </w:p>
        </w:tc>
        <w:tc>
          <w:tcPr>
            <w:tcW w:w="2047" w:type="dxa"/>
            <w:tcBorders>
              <w:top w:val="single" w:sz="4" w:space="0" w:color="FFFFFF"/>
              <w:left w:val="single" w:sz="8" w:space="0" w:color="FFFFFF"/>
              <w:right w:val="single" w:sz="8" w:space="0" w:color="FFFFFF"/>
            </w:tcBorders>
            <w:shd w:val="clear" w:color="auto" w:fill="auto"/>
            <w:tcMar>
              <w:top w:w="43" w:type="dxa"/>
              <w:left w:w="43" w:type="dxa"/>
              <w:bottom w:w="43" w:type="dxa"/>
              <w:right w:w="43" w:type="dxa"/>
            </w:tcMar>
            <w:vAlign w:val="center"/>
          </w:tcPr>
          <w:p w14:paraId="572E4509" w14:textId="77777777" w:rsidR="00071486" w:rsidRDefault="00000000">
            <w:pPr>
              <w:widowControl w:val="0"/>
              <w:pBdr>
                <w:top w:val="nil"/>
                <w:left w:val="nil"/>
                <w:bottom w:val="nil"/>
                <w:right w:val="nil"/>
                <w:between w:val="nil"/>
              </w:pBdr>
              <w:spacing w:after="0" w:line="240" w:lineRule="auto"/>
              <w:jc w:val="center"/>
            </w:pPr>
            <w:r>
              <w:t>Transcription des commentaires en direct uniquement</w:t>
            </w:r>
          </w:p>
        </w:tc>
        <w:tc>
          <w:tcPr>
            <w:tcW w:w="2047" w:type="dxa"/>
            <w:tcBorders>
              <w:top w:val="single" w:sz="4" w:space="0" w:color="FFFFFF"/>
              <w:left w:val="single" w:sz="8" w:space="0" w:color="FFFFFF"/>
              <w:right w:val="single" w:sz="8" w:space="0" w:color="FFFFFF"/>
            </w:tcBorders>
            <w:shd w:val="clear" w:color="auto" w:fill="auto"/>
            <w:tcMar>
              <w:top w:w="43" w:type="dxa"/>
              <w:left w:w="43" w:type="dxa"/>
              <w:bottom w:w="43" w:type="dxa"/>
              <w:right w:w="43" w:type="dxa"/>
            </w:tcMar>
            <w:vAlign w:val="center"/>
          </w:tcPr>
          <w:p w14:paraId="251B5917" w14:textId="77777777" w:rsidR="00071486" w:rsidRDefault="00000000">
            <w:pPr>
              <w:widowControl w:val="0"/>
              <w:pBdr>
                <w:top w:val="nil"/>
                <w:left w:val="nil"/>
                <w:bottom w:val="nil"/>
                <w:right w:val="nil"/>
                <w:between w:val="nil"/>
              </w:pBdr>
              <w:spacing w:after="0" w:line="240" w:lineRule="auto"/>
              <w:jc w:val="center"/>
            </w:pPr>
            <w:r>
              <w:t>Tous les commentaires</w:t>
            </w:r>
          </w:p>
        </w:tc>
        <w:tc>
          <w:tcPr>
            <w:tcW w:w="2047" w:type="dxa"/>
            <w:tcBorders>
              <w:top w:val="single" w:sz="4" w:space="0" w:color="FFFFFF"/>
              <w:left w:val="single" w:sz="8" w:space="0" w:color="FFFFFF"/>
              <w:right w:val="single" w:sz="8" w:space="0" w:color="FFFFFF"/>
            </w:tcBorders>
            <w:shd w:val="clear" w:color="auto" w:fill="auto"/>
            <w:tcMar>
              <w:top w:w="43" w:type="dxa"/>
              <w:left w:w="43" w:type="dxa"/>
              <w:bottom w:w="43" w:type="dxa"/>
              <w:right w:w="43" w:type="dxa"/>
            </w:tcMar>
            <w:vAlign w:val="center"/>
          </w:tcPr>
          <w:p w14:paraId="253593A2" w14:textId="77777777" w:rsidR="00071486" w:rsidRDefault="00000000">
            <w:pPr>
              <w:widowControl w:val="0"/>
              <w:spacing w:after="0" w:line="240" w:lineRule="auto"/>
              <w:jc w:val="center"/>
            </w:pPr>
            <w:r>
              <w:t>Transcription des commentaires en direct uniquement</w:t>
            </w:r>
          </w:p>
        </w:tc>
        <w:tc>
          <w:tcPr>
            <w:tcW w:w="2047" w:type="dxa"/>
            <w:tcBorders>
              <w:top w:val="single" w:sz="4" w:space="0" w:color="FFFFFF"/>
              <w:left w:val="single" w:sz="8" w:space="0" w:color="FFFFFF"/>
            </w:tcBorders>
            <w:shd w:val="clear" w:color="auto" w:fill="auto"/>
            <w:tcMar>
              <w:top w:w="43" w:type="dxa"/>
              <w:left w:w="43" w:type="dxa"/>
              <w:bottom w:w="43" w:type="dxa"/>
              <w:right w:w="43" w:type="dxa"/>
            </w:tcMar>
            <w:vAlign w:val="center"/>
          </w:tcPr>
          <w:p w14:paraId="136D843F" w14:textId="77777777" w:rsidR="00071486" w:rsidRDefault="00000000">
            <w:pPr>
              <w:widowControl w:val="0"/>
              <w:spacing w:after="0" w:line="240" w:lineRule="auto"/>
              <w:jc w:val="center"/>
            </w:pPr>
            <w:r>
              <w:t>Tous les commentaires</w:t>
            </w:r>
          </w:p>
        </w:tc>
      </w:tr>
    </w:tbl>
    <w:p w14:paraId="5569BCE0" w14:textId="77777777" w:rsidR="00071486" w:rsidRDefault="00071486"/>
    <w:p w14:paraId="547FC0CE" w14:textId="2282A50E" w:rsidR="00071486" w:rsidRDefault="00000000">
      <w:pPr>
        <w:sectPr w:rsidR="00071486">
          <w:headerReference w:type="default" r:id="rId20"/>
          <w:footerReference w:type="default" r:id="rId21"/>
          <w:headerReference w:type="first" r:id="rId22"/>
          <w:footerReference w:type="first" r:id="rId23"/>
          <w:pgSz w:w="12240" w:h="15840"/>
          <w:pgMar w:top="1134" w:right="1041" w:bottom="1134" w:left="1134" w:header="709" w:footer="709" w:gutter="0"/>
          <w:cols w:space="720"/>
          <w:titlePg/>
        </w:sectPr>
      </w:pPr>
      <w:r>
        <w:t xml:space="preserve">Pour illustrer la manière dont les différents formats de sous-titres apparaissent à l’écran, </w:t>
      </w:r>
      <w:hyperlink w:anchor="_770pqcv428gd">
        <w:r>
          <w:rPr>
            <w:color w:val="1155CC"/>
            <w:u w:val="single"/>
          </w:rPr>
          <w:t>le schéma 1</w:t>
        </w:r>
      </w:hyperlink>
      <w:r>
        <w:t xml:space="preserve"> montre que lors d’un match en direct, il n’y a pas de sous-titres pour le format de transcription des commentaires.</w:t>
      </w:r>
    </w:p>
    <w:p w14:paraId="44147A19" w14:textId="77777777" w:rsidR="00071486" w:rsidRDefault="00071486"/>
    <w:p w14:paraId="609CF410" w14:textId="77777777" w:rsidR="00071486" w:rsidRDefault="00000000">
      <w:pPr>
        <w:pStyle w:val="Heading5"/>
        <w:rPr>
          <w:b/>
        </w:rPr>
      </w:pPr>
      <w:bookmarkStart w:id="35" w:name="_770pqcv428gd"/>
      <w:bookmarkStart w:id="36" w:name="_Toc151722642"/>
      <w:bookmarkEnd w:id="35"/>
      <w:r>
        <w:rPr>
          <w:b/>
        </w:rPr>
        <w:t>Schéma 1 : Affichage à l’écran des sous-titres de type transcription des commentaires et des sous-titres de type intégral pendant le déroulement du match.</w:t>
      </w:r>
      <w:bookmarkEnd w:id="36"/>
    </w:p>
    <w:tbl>
      <w:tblPr>
        <w:tblStyle w:val="a3"/>
        <w:tblW w:w="10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32"/>
        <w:gridCol w:w="5033"/>
      </w:tblGrid>
      <w:tr w:rsidR="00071486" w14:paraId="13A86AF4" w14:textId="77777777">
        <w:trPr>
          <w:trHeight w:val="2686"/>
          <w:jc w:val="center"/>
        </w:trPr>
        <w:tc>
          <w:tcPr>
            <w:tcW w:w="5032" w:type="dxa"/>
            <w:tcBorders>
              <w:bottom w:val="single" w:sz="8" w:space="0" w:color="FFFFFF"/>
              <w:right w:val="single" w:sz="8" w:space="0" w:color="FFFFFF"/>
            </w:tcBorders>
            <w:shd w:val="clear" w:color="auto" w:fill="auto"/>
            <w:tcMar>
              <w:top w:w="0" w:type="dxa"/>
              <w:left w:w="0" w:type="dxa"/>
              <w:bottom w:w="0" w:type="dxa"/>
              <w:right w:w="0" w:type="dxa"/>
            </w:tcMar>
          </w:tcPr>
          <w:p w14:paraId="004BE1A2" w14:textId="77777777" w:rsidR="00071486" w:rsidRDefault="00000000">
            <w:pPr>
              <w:widowControl w:val="0"/>
              <w:pBdr>
                <w:top w:val="nil"/>
                <w:left w:val="nil"/>
                <w:bottom w:val="nil"/>
                <w:right w:val="nil"/>
                <w:between w:val="nil"/>
              </w:pBdr>
              <w:spacing w:after="0" w:line="240" w:lineRule="auto"/>
            </w:pPr>
            <w:r>
              <w:rPr>
                <w:noProof/>
              </w:rPr>
              <w:drawing>
                <wp:inline distT="114300" distB="114300" distL="114300" distR="114300" wp14:anchorId="4B7FE720" wp14:editId="04D29111">
                  <wp:extent cx="3181350" cy="1696121"/>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3181350" cy="1696121"/>
                          </a:xfrm>
                          <a:prstGeom prst="rect">
                            <a:avLst/>
                          </a:prstGeom>
                          <a:ln/>
                        </pic:spPr>
                      </pic:pic>
                    </a:graphicData>
                  </a:graphic>
                </wp:inline>
              </w:drawing>
            </w:r>
          </w:p>
        </w:tc>
        <w:tc>
          <w:tcPr>
            <w:tcW w:w="5032" w:type="dxa"/>
            <w:tcBorders>
              <w:left w:val="single" w:sz="8" w:space="0" w:color="FFFFFF"/>
              <w:bottom w:val="single" w:sz="8" w:space="0" w:color="FFFFFF"/>
            </w:tcBorders>
            <w:shd w:val="clear" w:color="auto" w:fill="auto"/>
            <w:tcMar>
              <w:top w:w="0" w:type="dxa"/>
              <w:left w:w="0" w:type="dxa"/>
              <w:bottom w:w="0" w:type="dxa"/>
              <w:right w:w="0" w:type="dxa"/>
            </w:tcMar>
          </w:tcPr>
          <w:p w14:paraId="7A1BB2D4" w14:textId="77777777" w:rsidR="00071486" w:rsidRDefault="00000000">
            <w:r>
              <w:rPr>
                <w:noProof/>
              </w:rPr>
              <w:drawing>
                <wp:inline distT="114300" distB="114300" distL="114300" distR="114300" wp14:anchorId="1D13F5DF" wp14:editId="21CC246F">
                  <wp:extent cx="3181350" cy="1702316"/>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3181350" cy="1702316"/>
                          </a:xfrm>
                          <a:prstGeom prst="rect">
                            <a:avLst/>
                          </a:prstGeom>
                          <a:ln/>
                        </pic:spPr>
                      </pic:pic>
                    </a:graphicData>
                  </a:graphic>
                </wp:inline>
              </w:drawing>
            </w:r>
          </w:p>
        </w:tc>
      </w:tr>
      <w:tr w:rsidR="00071486" w14:paraId="1354B726" w14:textId="77777777">
        <w:trPr>
          <w:jc w:val="center"/>
        </w:trPr>
        <w:tc>
          <w:tcPr>
            <w:tcW w:w="5032" w:type="dxa"/>
            <w:tcBorders>
              <w:top w:val="single" w:sz="8" w:space="0" w:color="FFFFFF"/>
              <w:right w:val="single" w:sz="8" w:space="0" w:color="FFFFFF"/>
            </w:tcBorders>
            <w:shd w:val="clear" w:color="auto" w:fill="auto"/>
            <w:tcMar>
              <w:top w:w="0" w:type="dxa"/>
              <w:left w:w="0" w:type="dxa"/>
              <w:bottom w:w="0" w:type="dxa"/>
              <w:right w:w="0" w:type="dxa"/>
            </w:tcMar>
          </w:tcPr>
          <w:p w14:paraId="3F1BBEC6" w14:textId="77777777" w:rsidR="00071486" w:rsidRDefault="00000000">
            <w:pPr>
              <w:widowControl w:val="0"/>
              <w:pBdr>
                <w:top w:val="nil"/>
                <w:left w:val="nil"/>
                <w:bottom w:val="nil"/>
                <w:right w:val="nil"/>
                <w:between w:val="nil"/>
              </w:pBdr>
              <w:spacing w:after="0" w:line="240" w:lineRule="auto"/>
              <w:jc w:val="center"/>
            </w:pPr>
            <w:r>
              <w:t>Sous-titrage de type transcription des commentaires pour le hockey</w:t>
            </w:r>
          </w:p>
        </w:tc>
        <w:tc>
          <w:tcPr>
            <w:tcW w:w="5032" w:type="dxa"/>
            <w:tcBorders>
              <w:top w:val="single" w:sz="8" w:space="0" w:color="FFFFFF"/>
              <w:left w:val="single" w:sz="8" w:space="0" w:color="FFFFFF"/>
            </w:tcBorders>
            <w:shd w:val="clear" w:color="auto" w:fill="auto"/>
            <w:tcMar>
              <w:top w:w="0" w:type="dxa"/>
              <w:left w:w="0" w:type="dxa"/>
              <w:bottom w:w="0" w:type="dxa"/>
              <w:right w:w="0" w:type="dxa"/>
            </w:tcMar>
          </w:tcPr>
          <w:p w14:paraId="26728B3F" w14:textId="77777777" w:rsidR="00071486" w:rsidRDefault="00000000">
            <w:pPr>
              <w:jc w:val="center"/>
            </w:pPr>
            <w:r>
              <w:t>Sous-titrage de type intégral pour le hockey</w:t>
            </w:r>
          </w:p>
        </w:tc>
      </w:tr>
    </w:tbl>
    <w:p w14:paraId="3402D651" w14:textId="77777777" w:rsidR="00071486" w:rsidRDefault="00071486"/>
    <w:p w14:paraId="6BE4AD07" w14:textId="77777777" w:rsidR="00071486" w:rsidRDefault="00000000">
      <w:r>
        <w:t>Lorsqu’il y a une pause ou un arrêt pendant le match, le sous-titrage de type transcription des commentaires est affiché, conformément aux commentaires en temps réel qui enrichissent l’expérience du jeu. Les sous-titres de type intégral sont toujours affichés chaque fois qu’</w:t>
      </w:r>
      <w:proofErr w:type="spellStart"/>
      <w:r>
        <w:t>un·e</w:t>
      </w:r>
      <w:proofErr w:type="spellEnd"/>
      <w:r>
        <w:t xml:space="preserve"> des </w:t>
      </w:r>
      <w:proofErr w:type="spellStart"/>
      <w:r>
        <w:t>commentateur·trice·s</w:t>
      </w:r>
      <w:proofErr w:type="spellEnd"/>
      <w:r>
        <w:t xml:space="preserve"> prend la parole. Vous remarquerez que les sous-titres de type transcription des commentaires sont placés au centre de l’écran, tandis que les sous-titres de type intégral sur l’image de droite occupent toute la partie supérieure de l’écran.</w:t>
      </w:r>
    </w:p>
    <w:p w14:paraId="3ECEC9F3" w14:textId="77777777" w:rsidR="00071486" w:rsidRDefault="00000000">
      <w:pPr>
        <w:pStyle w:val="Heading5"/>
        <w:rPr>
          <w:b/>
        </w:rPr>
      </w:pPr>
      <w:bookmarkStart w:id="37" w:name="_xijkbvshov6s"/>
      <w:bookmarkStart w:id="38" w:name="_Toc151722643"/>
      <w:bookmarkEnd w:id="37"/>
      <w:r>
        <w:rPr>
          <w:b/>
        </w:rPr>
        <w:t>Figure 2 : Apparition à l’écran des sous-titres de type transcription des commentaires (CO) et des sous-titres de type intégral (PBP) pendant les commentaires en direct.</w:t>
      </w:r>
      <w:bookmarkEnd w:id="38"/>
    </w:p>
    <w:tbl>
      <w:tblPr>
        <w:tblStyle w:val="a4"/>
        <w:tblW w:w="10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32"/>
        <w:gridCol w:w="5033"/>
      </w:tblGrid>
      <w:tr w:rsidR="00071486" w14:paraId="3C89B51B" w14:textId="77777777">
        <w:trPr>
          <w:jc w:val="center"/>
        </w:trPr>
        <w:tc>
          <w:tcPr>
            <w:tcW w:w="5032" w:type="dxa"/>
            <w:tcBorders>
              <w:bottom w:val="single" w:sz="8" w:space="0" w:color="FFFFFF"/>
              <w:right w:val="single" w:sz="8" w:space="0" w:color="FFFFFF"/>
            </w:tcBorders>
            <w:shd w:val="clear" w:color="auto" w:fill="auto"/>
            <w:tcMar>
              <w:top w:w="0" w:type="dxa"/>
              <w:left w:w="0" w:type="dxa"/>
              <w:bottom w:w="0" w:type="dxa"/>
              <w:right w:w="0" w:type="dxa"/>
            </w:tcMar>
          </w:tcPr>
          <w:p w14:paraId="1E26320A" w14:textId="77777777" w:rsidR="00071486" w:rsidRDefault="00000000">
            <w:pPr>
              <w:widowControl w:val="0"/>
              <w:pBdr>
                <w:top w:val="nil"/>
                <w:left w:val="nil"/>
                <w:bottom w:val="nil"/>
                <w:right w:val="nil"/>
                <w:between w:val="nil"/>
              </w:pBdr>
              <w:spacing w:after="0" w:line="240" w:lineRule="auto"/>
              <w:jc w:val="center"/>
            </w:pPr>
            <w:r>
              <w:rPr>
                <w:noProof/>
              </w:rPr>
              <w:drawing>
                <wp:inline distT="114300" distB="114300" distL="114300" distR="114300" wp14:anchorId="2F9E878C" wp14:editId="6FC2DBCD">
                  <wp:extent cx="3057525" cy="161290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3057525" cy="1612900"/>
                          </a:xfrm>
                          <a:prstGeom prst="rect">
                            <a:avLst/>
                          </a:prstGeom>
                          <a:ln/>
                        </pic:spPr>
                      </pic:pic>
                    </a:graphicData>
                  </a:graphic>
                </wp:inline>
              </w:drawing>
            </w:r>
          </w:p>
        </w:tc>
        <w:tc>
          <w:tcPr>
            <w:tcW w:w="5032" w:type="dxa"/>
            <w:tcBorders>
              <w:left w:val="single" w:sz="8" w:space="0" w:color="FFFFFF"/>
              <w:bottom w:val="single" w:sz="8" w:space="0" w:color="FFFFFF"/>
            </w:tcBorders>
            <w:shd w:val="clear" w:color="auto" w:fill="auto"/>
            <w:tcMar>
              <w:top w:w="0" w:type="dxa"/>
              <w:left w:w="0" w:type="dxa"/>
              <w:bottom w:w="0" w:type="dxa"/>
              <w:right w:w="0" w:type="dxa"/>
            </w:tcMar>
          </w:tcPr>
          <w:p w14:paraId="3A5A7D67" w14:textId="77777777" w:rsidR="00071486" w:rsidRDefault="00000000">
            <w:pPr>
              <w:widowControl w:val="0"/>
              <w:pBdr>
                <w:top w:val="nil"/>
                <w:left w:val="nil"/>
                <w:bottom w:val="nil"/>
                <w:right w:val="nil"/>
                <w:between w:val="nil"/>
              </w:pBdr>
              <w:spacing w:after="0" w:line="240" w:lineRule="auto"/>
              <w:jc w:val="center"/>
            </w:pPr>
            <w:r>
              <w:rPr>
                <w:noProof/>
              </w:rPr>
              <w:drawing>
                <wp:inline distT="114300" distB="114300" distL="114300" distR="114300" wp14:anchorId="21772E6D" wp14:editId="743CD540">
                  <wp:extent cx="3057525" cy="1618649"/>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b="2652"/>
                          <a:stretch>
                            <a:fillRect/>
                          </a:stretch>
                        </pic:blipFill>
                        <pic:spPr>
                          <a:xfrm>
                            <a:off x="0" y="0"/>
                            <a:ext cx="3057525" cy="1618649"/>
                          </a:xfrm>
                          <a:prstGeom prst="rect">
                            <a:avLst/>
                          </a:prstGeom>
                          <a:ln/>
                        </pic:spPr>
                      </pic:pic>
                    </a:graphicData>
                  </a:graphic>
                </wp:inline>
              </w:drawing>
            </w:r>
          </w:p>
        </w:tc>
      </w:tr>
      <w:tr w:rsidR="00071486" w14:paraId="19DB2E99" w14:textId="77777777">
        <w:trPr>
          <w:trHeight w:val="289"/>
          <w:jc w:val="center"/>
        </w:trPr>
        <w:tc>
          <w:tcPr>
            <w:tcW w:w="5032" w:type="dxa"/>
            <w:tcBorders>
              <w:top w:val="single" w:sz="8" w:space="0" w:color="FFFFFF"/>
              <w:right w:val="single" w:sz="8" w:space="0" w:color="FFFFFF"/>
            </w:tcBorders>
            <w:shd w:val="clear" w:color="auto" w:fill="auto"/>
            <w:tcMar>
              <w:top w:w="0" w:type="dxa"/>
              <w:left w:w="0" w:type="dxa"/>
              <w:bottom w:w="0" w:type="dxa"/>
              <w:right w:w="0" w:type="dxa"/>
            </w:tcMar>
          </w:tcPr>
          <w:p w14:paraId="09F59ABD" w14:textId="77777777" w:rsidR="00071486" w:rsidRDefault="00000000">
            <w:pPr>
              <w:widowControl w:val="0"/>
              <w:spacing w:after="0" w:line="240" w:lineRule="auto"/>
              <w:jc w:val="center"/>
            </w:pPr>
            <w:r>
              <w:t>Sous-titrage de type transcription des commentaires en direct pour le hockey</w:t>
            </w:r>
          </w:p>
        </w:tc>
        <w:tc>
          <w:tcPr>
            <w:tcW w:w="5032" w:type="dxa"/>
            <w:tcBorders>
              <w:top w:val="single" w:sz="8" w:space="0" w:color="FFFFFF"/>
              <w:left w:val="single" w:sz="8" w:space="0" w:color="FFFFFF"/>
            </w:tcBorders>
            <w:shd w:val="clear" w:color="auto" w:fill="auto"/>
            <w:tcMar>
              <w:top w:w="0" w:type="dxa"/>
              <w:left w:w="0" w:type="dxa"/>
              <w:bottom w:w="0" w:type="dxa"/>
              <w:right w:w="0" w:type="dxa"/>
            </w:tcMar>
          </w:tcPr>
          <w:p w14:paraId="2E3DF48A" w14:textId="77777777" w:rsidR="00071486" w:rsidRDefault="00000000">
            <w:pPr>
              <w:jc w:val="center"/>
            </w:pPr>
            <w:r>
              <w:t>Sous-titrage de type intégral pour le basketball</w:t>
            </w:r>
          </w:p>
        </w:tc>
      </w:tr>
    </w:tbl>
    <w:p w14:paraId="08975C9B" w14:textId="77777777" w:rsidR="00071486" w:rsidRDefault="00071486"/>
    <w:p w14:paraId="31C8628D" w14:textId="77777777" w:rsidR="00071486" w:rsidRDefault="00000000">
      <w:pPr>
        <w:pStyle w:val="Heading2"/>
        <w:spacing w:after="200"/>
      </w:pPr>
      <w:bookmarkStart w:id="39" w:name="mdhbi8c1xy6h"/>
      <w:bookmarkStart w:id="40" w:name="_Toc151722644"/>
      <w:bookmarkEnd w:id="39"/>
      <w:r>
        <w:t>Comparaison des formats de sous-titrage pour personnes sourdes et malentendantes : sous-titres de type transcription des commentaires et sous-titres de type intégral.</w:t>
      </w:r>
      <w:bookmarkEnd w:id="40"/>
    </w:p>
    <w:p w14:paraId="6F79968F" w14:textId="4BFDAEA7" w:rsidR="00071486" w:rsidRDefault="00000000">
      <w:r>
        <w:t xml:space="preserve">En utilisant le dispositif de suivi oculaire </w:t>
      </w:r>
      <w:proofErr w:type="spellStart"/>
      <w:r>
        <w:t>Tobii</w:t>
      </w:r>
      <w:proofErr w:type="spellEnd"/>
      <w:r>
        <w:t xml:space="preserve">, nous avons enregistré la durée et la fréquence des regards portés sur les zones d’intérêt. Chaque regard porté correspondant à la totalité des temps de fixations, des saccades et des coups d’œil en millisecondes. Les zones d’Intérêt, dans le contexte de cette étude, font référence à la zone de l’écran où sont placés les sous-titres, ainsi que les zones ne comprenant pas de sous-titres (le match en cours, </w:t>
      </w:r>
      <w:r>
        <w:lastRenderedPageBreak/>
        <w:t xml:space="preserve">les gradins, le tableau des scores, etc.). Grâce aux enregistrements de suivi oculaire, il a été possible d’effectuer une analyse statistique qui a révélé qu’il n’y avait pas de différences statistiquement significatives dans la durée et la fréquence des regards entre les deux formats de sous-titres, que les </w:t>
      </w:r>
      <w:proofErr w:type="spellStart"/>
      <w:r>
        <w:t>participant·e·s</w:t>
      </w:r>
      <w:proofErr w:type="spellEnd"/>
      <w:r>
        <w:t xml:space="preserve"> soient </w:t>
      </w:r>
      <w:proofErr w:type="spellStart"/>
      <w:r>
        <w:t>entendant·e·s</w:t>
      </w:r>
      <w:proofErr w:type="spellEnd"/>
      <w:r>
        <w:t xml:space="preserve"> ou </w:t>
      </w:r>
      <w:proofErr w:type="spellStart"/>
      <w:r>
        <w:t>sourd·e·s</w:t>
      </w:r>
      <w:proofErr w:type="spellEnd"/>
      <w:r>
        <w:t xml:space="preserve">. </w:t>
      </w:r>
      <w:hyperlink w:anchor="_9h9lyh8ih22n">
        <w:r>
          <w:rPr>
            <w:color w:val="1155CC"/>
            <w:u w:val="single"/>
          </w:rPr>
          <w:t>Le schéma 3</w:t>
        </w:r>
      </w:hyperlink>
      <w:r>
        <w:t xml:space="preserve"> présente un diagramme illustrant la durée de temps en pourcentages pendant laquelle les </w:t>
      </w:r>
      <w:proofErr w:type="spellStart"/>
      <w:r>
        <w:t>participant·e·s</w:t>
      </w:r>
      <w:proofErr w:type="spellEnd"/>
      <w:r>
        <w:t xml:space="preserve">, y compris les personnes sourdes ou malentendantes, ont porté leur regard sur les deux zones d’intérêt combinées pour les matchs de hockey sur glace et de basketball.  </w:t>
      </w:r>
    </w:p>
    <w:p w14:paraId="2691D5E6" w14:textId="77777777" w:rsidR="00071486" w:rsidRDefault="00071486"/>
    <w:p w14:paraId="43C7AC66" w14:textId="77777777" w:rsidR="00071486" w:rsidRDefault="00000000">
      <w:pPr>
        <w:pStyle w:val="Heading5"/>
        <w:rPr>
          <w:b/>
        </w:rPr>
      </w:pPr>
      <w:bookmarkStart w:id="41" w:name="_9h9lyh8ih22n"/>
      <w:bookmarkStart w:id="42" w:name="_Toc151722645"/>
      <w:bookmarkEnd w:id="41"/>
      <w:r>
        <w:rPr>
          <w:b/>
        </w:rPr>
        <w:t xml:space="preserve">Schéma 3 : Diagramme illustrant la durée de temps en pourcentages pendant laquelle les </w:t>
      </w:r>
      <w:proofErr w:type="spellStart"/>
      <w:r>
        <w:rPr>
          <w:b/>
        </w:rPr>
        <w:t>participant·e·s</w:t>
      </w:r>
      <w:proofErr w:type="spellEnd"/>
      <w:r>
        <w:rPr>
          <w:b/>
        </w:rPr>
        <w:t>, y compris les personnes sourdes ou malentendantes ont porté leur regard sur les deux zones d’intérêt.</w:t>
      </w:r>
      <w:bookmarkEnd w:id="42"/>
    </w:p>
    <w:p w14:paraId="5E2DA8B5" w14:textId="77777777" w:rsidR="00071486" w:rsidRDefault="00000000">
      <w:pPr>
        <w:spacing w:after="0" w:line="312" w:lineRule="auto"/>
        <w:jc w:val="center"/>
      </w:pPr>
      <w:r>
        <w:rPr>
          <w:rFonts w:ascii="Helvetica Neue" w:hAnsi="Helvetica Neue"/>
          <w:noProof/>
        </w:rPr>
        <w:drawing>
          <wp:inline distT="114300" distB="114300" distL="114300" distR="114300" wp14:anchorId="5CCDE74B" wp14:editId="622F0994">
            <wp:extent cx="5772150" cy="2066925"/>
            <wp:effectExtent l="12700" t="12700" r="12700" b="12700"/>
            <wp:docPr id="38" name="Picture 38"/>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772150" cy="2066925"/>
                    </a:xfrm>
                    <a:prstGeom prst="rect">
                      <a:avLst/>
                    </a:prstGeom>
                    <a:ln w="12700">
                      <a:solidFill>
                        <a:srgbClr val="000000"/>
                      </a:solidFill>
                      <a:prstDash val="solid"/>
                    </a:ln>
                  </pic:spPr>
                </pic:pic>
              </a:graphicData>
            </a:graphic>
          </wp:inline>
        </w:drawing>
      </w:r>
    </w:p>
    <w:p w14:paraId="18AE17ED" w14:textId="77777777" w:rsidR="00071486" w:rsidRDefault="00071486"/>
    <w:p w14:paraId="69D88F59" w14:textId="53D889ED" w:rsidR="00071486" w:rsidRDefault="00000000">
      <w:r>
        <w:t xml:space="preserve">La durée totale des regards portés sur les sous-titres de type transcription des commentaires était de 11 %, contre 10 % pour le sous-titrage intégral. Malgré l’absence de signification statistique, </w:t>
      </w:r>
      <w:hyperlink w:anchor="_vv8094e6bkeh">
        <w:r>
          <w:rPr>
            <w:color w:val="1155CC"/>
            <w:u w:val="single"/>
          </w:rPr>
          <w:t>le schéma 4</w:t>
        </w:r>
      </w:hyperlink>
      <w:r>
        <w:t xml:space="preserve"> illustre les valeurs moyennes des observations des </w:t>
      </w:r>
      <w:proofErr w:type="spellStart"/>
      <w:r>
        <w:t>participant·e·s</w:t>
      </w:r>
      <w:proofErr w:type="spellEnd"/>
      <w:r>
        <w:t xml:space="preserve"> </w:t>
      </w:r>
      <w:proofErr w:type="spellStart"/>
      <w:r>
        <w:t>sourd·e·s</w:t>
      </w:r>
      <w:proofErr w:type="spellEnd"/>
      <w:r>
        <w:t xml:space="preserve"> et </w:t>
      </w:r>
      <w:proofErr w:type="spellStart"/>
      <w:r>
        <w:t>malentendant·e·s</w:t>
      </w:r>
      <w:proofErr w:type="spellEnd"/>
      <w:r>
        <w:t xml:space="preserve"> pour chaque format de sous-titres. Indépendamment du sport ou de leur capacité auditive, les </w:t>
      </w:r>
      <w:proofErr w:type="spellStart"/>
      <w:r>
        <w:t>participant·e·s</w:t>
      </w:r>
      <w:proofErr w:type="spellEnd"/>
      <w:r>
        <w:t xml:space="preserve"> semblent consulter davantage les sous-titres type de type transcription des commentaires que les sous-titres de type intégral. Il est possible d’interpréter ces résultats en suggérant que les sous-titres de type intégral semblent perturber le visionnement du match, ce qui conduit les </w:t>
      </w:r>
      <w:proofErr w:type="spellStart"/>
      <w:r>
        <w:t>participant·e·s</w:t>
      </w:r>
      <w:proofErr w:type="spellEnd"/>
      <w:r>
        <w:t xml:space="preserve"> à y consacrer moins de temps et à consulter moins fréquemment cette partie de l’écran, indépendamment du format de sous-titres. Les sous-titres liés à l’action du match n’étaient pas affichés dans le format transcription des commentaires, ce qui a peut-être incité les </w:t>
      </w:r>
      <w:proofErr w:type="spellStart"/>
      <w:r>
        <w:t>participant·e·s</w:t>
      </w:r>
      <w:proofErr w:type="spellEnd"/>
      <w:r>
        <w:t xml:space="preserve"> à penser que ces derniers n’étaient pas importants. Le nombre moyen de regards dirigés vers les sous-titres de type transcription des commentaires était de 124, tandis que le nombre moyen de regards pour le format intégral était de 106 (voir </w:t>
      </w:r>
      <w:hyperlink w:anchor="_hpyfcaxew2p7">
        <w:r>
          <w:rPr>
            <w:color w:val="1155CC"/>
            <w:u w:val="single"/>
          </w:rPr>
          <w:t>Schéma 5</w:t>
        </w:r>
      </w:hyperlink>
      <w:r>
        <w:t xml:space="preserve">). </w:t>
      </w:r>
    </w:p>
    <w:p w14:paraId="340048A3" w14:textId="77777777" w:rsidR="00071486" w:rsidRDefault="00000000">
      <w:pPr>
        <w:pStyle w:val="Heading5"/>
        <w:rPr>
          <w:b/>
        </w:rPr>
      </w:pPr>
      <w:bookmarkStart w:id="43" w:name="_vv8094e6bkeh"/>
      <w:bookmarkStart w:id="44" w:name="_Toc151722646"/>
      <w:bookmarkEnd w:id="43"/>
      <w:r>
        <w:rPr>
          <w:b/>
        </w:rPr>
        <w:lastRenderedPageBreak/>
        <w:t>Schéma 4 : Moyenne et écart-type (lignes) de la durée des regards portés sur les deux zones d’intérêt pour les deux formats de sous-titrage.</w:t>
      </w:r>
      <w:bookmarkEnd w:id="44"/>
    </w:p>
    <w:p w14:paraId="09EF5FFF" w14:textId="77777777" w:rsidR="00071486" w:rsidRDefault="00000000">
      <w:pPr>
        <w:jc w:val="center"/>
      </w:pPr>
      <w:r>
        <w:rPr>
          <w:noProof/>
        </w:rPr>
        <w:drawing>
          <wp:inline distT="114300" distB="114300" distL="114300" distR="114300" wp14:anchorId="418F4ABB" wp14:editId="3132CB37">
            <wp:extent cx="5111864" cy="2844800"/>
            <wp:effectExtent l="12700" t="12700" r="12700" b="12700"/>
            <wp:docPr id="39" name="Picture 39"/>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111864" cy="2844800"/>
                    </a:xfrm>
                    <a:prstGeom prst="rect">
                      <a:avLst/>
                    </a:prstGeom>
                    <a:ln w="12700">
                      <a:solidFill>
                        <a:srgbClr val="000000"/>
                      </a:solidFill>
                      <a:prstDash val="solid"/>
                    </a:ln>
                  </pic:spPr>
                </pic:pic>
              </a:graphicData>
            </a:graphic>
          </wp:inline>
        </w:drawing>
      </w:r>
    </w:p>
    <w:p w14:paraId="3F4277C1" w14:textId="77777777" w:rsidR="00071486" w:rsidRDefault="00071486"/>
    <w:p w14:paraId="73F8F0D7" w14:textId="77777777" w:rsidR="00071486" w:rsidRDefault="00000000">
      <w:pPr>
        <w:pStyle w:val="Heading5"/>
        <w:rPr>
          <w:b/>
        </w:rPr>
      </w:pPr>
      <w:bookmarkStart w:id="45" w:name="_hpyfcaxew2p7"/>
      <w:bookmarkStart w:id="46" w:name="_Toc151722647"/>
      <w:bookmarkEnd w:id="45"/>
      <w:r>
        <w:rPr>
          <w:b/>
        </w:rPr>
        <w:t>Schéma 5 : Moyenne et écart-type (lignes) de la fréquence des regards portés sur les deux zones d’intérêt pour les deux formats de sous-titrage.</w:t>
      </w:r>
      <w:bookmarkEnd w:id="46"/>
    </w:p>
    <w:p w14:paraId="303C5E1E" w14:textId="77777777" w:rsidR="00071486" w:rsidRDefault="00000000">
      <w:pPr>
        <w:jc w:val="center"/>
      </w:pPr>
      <w:r>
        <w:rPr>
          <w:noProof/>
        </w:rPr>
        <w:drawing>
          <wp:inline distT="114300" distB="114300" distL="114300" distR="114300" wp14:anchorId="04AACA4F" wp14:editId="271FFD8F">
            <wp:extent cx="5113020" cy="2874702"/>
            <wp:effectExtent l="12700" t="12700" r="12700" b="12700"/>
            <wp:docPr id="40" name="Picture 40"/>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5113020" cy="2874702"/>
                    </a:xfrm>
                    <a:prstGeom prst="rect">
                      <a:avLst/>
                    </a:prstGeom>
                    <a:ln w="12700">
                      <a:solidFill>
                        <a:srgbClr val="000000"/>
                      </a:solidFill>
                      <a:prstDash val="solid"/>
                    </a:ln>
                  </pic:spPr>
                </pic:pic>
              </a:graphicData>
            </a:graphic>
          </wp:inline>
        </w:drawing>
      </w:r>
    </w:p>
    <w:p w14:paraId="16F3820A" w14:textId="77777777" w:rsidR="00071486" w:rsidRDefault="00071486"/>
    <w:p w14:paraId="16D064A5" w14:textId="77777777" w:rsidR="00071486" w:rsidRDefault="00000000">
      <w:r>
        <w:t xml:space="preserve">Étant donné que le format intégral représentait les sous-titres standards auxquels les </w:t>
      </w:r>
      <w:proofErr w:type="spellStart"/>
      <w:r>
        <w:t>participant·e·s</w:t>
      </w:r>
      <w:proofErr w:type="spellEnd"/>
      <w:r>
        <w:t xml:space="preserve"> étaient </w:t>
      </w:r>
      <w:proofErr w:type="spellStart"/>
      <w:r>
        <w:t>habitué·e·s</w:t>
      </w:r>
      <w:proofErr w:type="spellEnd"/>
      <w:r>
        <w:t xml:space="preserve">, l’absence de différence statistique entre les deux conditions soulève la possibilité d’utiliser les sous-titres de l’autre format. Cette constatation suggère que l’effet de nouveauté a probablement eu des répercussions négatives sur l’expérience des </w:t>
      </w:r>
      <w:proofErr w:type="spellStart"/>
      <w:r>
        <w:t>téléspectateur·trice·s</w:t>
      </w:r>
      <w:proofErr w:type="spellEnd"/>
      <w:r>
        <w:t xml:space="preserve">, car cela divergeait leurs habitudes (« Ça </w:t>
      </w:r>
      <w:r>
        <w:lastRenderedPageBreak/>
        <w:t xml:space="preserve">change de ce que je connais »). Il semble que ce potentiel soit davantage mis en évidence par les commentaires positifs des </w:t>
      </w:r>
      <w:proofErr w:type="spellStart"/>
      <w:r>
        <w:t>participant·e·s</w:t>
      </w:r>
      <w:proofErr w:type="spellEnd"/>
      <w:r>
        <w:t xml:space="preserve"> concernant les sous-titres de type transcription des commentaires par rapport aux commentaires négatifs sur les sous-titres de type intégral après avoir visionné les séquences avec les deux formats différents.</w:t>
      </w:r>
    </w:p>
    <w:p w14:paraId="53B1CB75" w14:textId="77777777" w:rsidR="00071486" w:rsidRDefault="00000000">
      <w:pPr>
        <w:spacing w:before="200" w:after="200" w:line="312" w:lineRule="auto"/>
        <w:ind w:left="720"/>
        <w:rPr>
          <w:rFonts w:ascii="Helvetica Neue" w:eastAsia="Helvetica Neue" w:hAnsi="Helvetica Neue" w:cs="Helvetica Neue"/>
          <w:i/>
        </w:rPr>
      </w:pPr>
      <w:r>
        <w:rPr>
          <w:rFonts w:ascii="Helvetica Neue" w:hAnsi="Helvetica Neue"/>
          <w:i/>
        </w:rPr>
        <w:t>« Personnellement, je préfère les sous-titres du deuxième extrait [format transcription des commentaires] J’ai aimé, car j’ai tout compris au déroulement du match. Je n’ai pas besoin du format intégral. Lorsqu’il y a une action en direct, les commentaires ne font même pas référence à cela, ce qui me distrait facilement. J’ai préféré le format transcription des commentaires, car pendant le match en direct, il n’y avait pas de sous-titres. Ma surdité faisait que je ne pouvais pas savoir s’ils parlaient. J’ai pu suivre ce qui se passait lorsque le match était interrompu (reprises et temps morts). »</w:t>
      </w:r>
    </w:p>
    <w:p w14:paraId="66D72636" w14:textId="77777777" w:rsidR="00071486" w:rsidRDefault="00000000">
      <w:pPr>
        <w:rPr>
          <w:rFonts w:ascii="Helvetica Neue" w:eastAsia="Helvetica Neue" w:hAnsi="Helvetica Neue" w:cs="Helvetica Neue"/>
        </w:rPr>
      </w:pPr>
      <w:r>
        <w:t>Une autre personne a partagé comment les sous-titres de type transcription des commentaires lui ont permis de suivre le match sans s’inquiéter de rater des moments importants.</w:t>
      </w:r>
    </w:p>
    <w:p w14:paraId="66E1D63B" w14:textId="0AA5C3B2" w:rsidR="00071486" w:rsidRDefault="00000000">
      <w:pPr>
        <w:spacing w:before="200" w:after="200" w:line="312" w:lineRule="auto"/>
        <w:ind w:left="720"/>
        <w:rPr>
          <w:rFonts w:ascii="Helvetica Neue" w:eastAsia="Helvetica Neue" w:hAnsi="Helvetica Neue" w:cs="Helvetica Neue"/>
          <w:i/>
        </w:rPr>
      </w:pPr>
      <w:r>
        <w:rPr>
          <w:rFonts w:ascii="Helvetica Neue" w:hAnsi="Helvetica Neue"/>
          <w:i/>
        </w:rPr>
        <w:t>« Je pouvais me concentrer sur le déroulement du match sans m’inquiéter de manquer des éléments importants en essayant de lire les sous-titres en même temps (...) Les sous-titres étaient positionnés à hauteur des yeux, ce qui me permettait de les lire même lorsque l’action commençait. Je pouvais terminer la lecture des sous-titres tout en ayant une vue claire de ce qui se passait dans mon champ [de vision] périphérique. »</w:t>
      </w:r>
    </w:p>
    <w:p w14:paraId="00E495DD" w14:textId="77777777" w:rsidR="00071486" w:rsidRDefault="00000000">
      <w:r>
        <w:t xml:space="preserve">En ce qui concerne les sous-titres de type descriptif des actions en temps réel, les </w:t>
      </w:r>
      <w:proofErr w:type="spellStart"/>
      <w:r>
        <w:t>participant·e·s</w:t>
      </w:r>
      <w:proofErr w:type="spellEnd"/>
      <w:r>
        <w:t xml:space="preserve"> ont mentionné qu’il était difficile de suivre à la fois le match et les sous-titres affichés à l’écran. Voici quelques commentaires des </w:t>
      </w:r>
      <w:proofErr w:type="spellStart"/>
      <w:r>
        <w:t>participant·e·s</w:t>
      </w:r>
      <w:proofErr w:type="spellEnd"/>
      <w:r>
        <w:t xml:space="preserve"> concernant les sous-titres de type intégral :</w:t>
      </w:r>
    </w:p>
    <w:p w14:paraId="5C55FF7F" w14:textId="0AB49224" w:rsidR="00071486" w:rsidRDefault="00000000">
      <w:pPr>
        <w:spacing w:before="200"/>
        <w:ind w:left="720"/>
        <w:rPr>
          <w:rFonts w:ascii="Helvetica Neue" w:eastAsia="Helvetica Neue" w:hAnsi="Helvetica Neue" w:cs="Helvetica Neue"/>
          <w:i/>
        </w:rPr>
      </w:pPr>
      <w:r>
        <w:rPr>
          <w:rFonts w:ascii="Helvetica Neue" w:hAnsi="Helvetica Neue"/>
          <w:i/>
        </w:rPr>
        <w:t>« Trop distrayant</w:t>
      </w:r>
      <w:proofErr w:type="gramStart"/>
      <w:r>
        <w:rPr>
          <w:rFonts w:ascii="Helvetica Neue" w:hAnsi="Helvetica Neue"/>
          <w:i/>
        </w:rPr>
        <w:t> »/</w:t>
      </w:r>
      <w:proofErr w:type="gramEnd"/>
      <w:r>
        <w:rPr>
          <w:rFonts w:ascii="Helvetica Neue" w:hAnsi="Helvetica Neue"/>
          <w:i/>
        </w:rPr>
        <w:t>« Stressant, trop d’informations »/</w:t>
      </w:r>
    </w:p>
    <w:p w14:paraId="6A379E86" w14:textId="77777777" w:rsidR="00071486" w:rsidRDefault="00000000">
      <w:pPr>
        <w:ind w:left="720"/>
        <w:rPr>
          <w:rFonts w:ascii="Helvetica Neue" w:eastAsia="Helvetica Neue" w:hAnsi="Helvetica Neue" w:cs="Helvetica Neue"/>
          <w:i/>
        </w:rPr>
      </w:pPr>
      <w:r>
        <w:rPr>
          <w:rFonts w:ascii="Helvetica Neue" w:hAnsi="Helvetica Neue"/>
          <w:i/>
        </w:rPr>
        <w:t>« Vraiment épuisant</w:t>
      </w:r>
      <w:proofErr w:type="gramStart"/>
      <w:r>
        <w:rPr>
          <w:rFonts w:ascii="Helvetica Neue" w:hAnsi="Helvetica Neue"/>
          <w:i/>
        </w:rPr>
        <w:t> »/</w:t>
      </w:r>
      <w:proofErr w:type="gramEnd"/>
      <w:r>
        <w:rPr>
          <w:rFonts w:ascii="Helvetica Neue" w:hAnsi="Helvetica Neue"/>
          <w:i/>
        </w:rPr>
        <w:t>« Un effort considérable pour mes yeux »/« Sans arrêt »</w:t>
      </w:r>
    </w:p>
    <w:p w14:paraId="72C97BDA" w14:textId="623D5F55" w:rsidR="00071486" w:rsidRDefault="00000000">
      <w:pPr>
        <w:ind w:left="720"/>
        <w:rPr>
          <w:rFonts w:ascii="Helvetica Neue" w:eastAsia="Helvetica Neue" w:hAnsi="Helvetica Neue" w:cs="Helvetica Neue"/>
          <w:i/>
        </w:rPr>
      </w:pPr>
      <w:r>
        <w:rPr>
          <w:rFonts w:ascii="Helvetica Neue" w:hAnsi="Helvetica Neue"/>
          <w:i/>
        </w:rPr>
        <w:t>« </w:t>
      </w:r>
      <w:r w:rsidR="00B26E29">
        <w:rPr>
          <w:rFonts w:ascii="Helvetica Neue" w:hAnsi="Helvetica Neue"/>
          <w:i/>
        </w:rPr>
        <w:t>Beaucoup</w:t>
      </w:r>
      <w:r>
        <w:rPr>
          <w:rFonts w:ascii="Helvetica Neue" w:hAnsi="Helvetica Neue"/>
          <w:i/>
        </w:rPr>
        <w:t xml:space="preserve"> d’allers-retours visuels [entre les sous-titres et le match]</w:t>
      </w:r>
      <w:proofErr w:type="gramStart"/>
      <w:r>
        <w:rPr>
          <w:rFonts w:ascii="Helvetica Neue" w:hAnsi="Helvetica Neue"/>
          <w:i/>
        </w:rPr>
        <w:t> »/</w:t>
      </w:r>
      <w:proofErr w:type="gramEnd"/>
      <w:r>
        <w:rPr>
          <w:rFonts w:ascii="Helvetica Neue" w:hAnsi="Helvetica Neue"/>
          <w:i/>
        </w:rPr>
        <w:t xml:space="preserve"> </w:t>
      </w:r>
    </w:p>
    <w:p w14:paraId="36A16018" w14:textId="77777777" w:rsidR="00071486" w:rsidRDefault="00000000">
      <w:pPr>
        <w:ind w:left="720"/>
        <w:rPr>
          <w:rFonts w:ascii="Helvetica Neue" w:eastAsia="Helvetica Neue" w:hAnsi="Helvetica Neue" w:cs="Helvetica Neue"/>
          <w:i/>
        </w:rPr>
      </w:pPr>
      <w:r>
        <w:rPr>
          <w:rFonts w:ascii="Helvetica Neue" w:hAnsi="Helvetica Neue"/>
          <w:i/>
        </w:rPr>
        <w:t>« Me provoque du stress, car je ne veux pas manquer les informations importantes avant qu’elles disparaissent »</w:t>
      </w:r>
    </w:p>
    <w:p w14:paraId="67F042F8" w14:textId="266F48FC" w:rsidR="00071486" w:rsidRDefault="00000000">
      <w:pPr>
        <w:ind w:left="720"/>
      </w:pPr>
      <w:r>
        <w:rPr>
          <w:rFonts w:ascii="Helvetica Neue" w:hAnsi="Helvetica Neue"/>
          <w:i/>
        </w:rPr>
        <w:t>« C’est comme si je lisais un livre et que dès que je relevais les yeux, je ratais les sous-titres »</w:t>
      </w:r>
    </w:p>
    <w:p w14:paraId="07462486" w14:textId="77777777" w:rsidR="00071486" w:rsidRDefault="00000000">
      <w:pPr>
        <w:spacing w:before="200"/>
      </w:pPr>
      <w:r>
        <w:t xml:space="preserve">Certains </w:t>
      </w:r>
      <w:proofErr w:type="spellStart"/>
      <w:r>
        <w:t>participant·e·s</w:t>
      </w:r>
      <w:proofErr w:type="spellEnd"/>
      <w:r>
        <w:t xml:space="preserve"> ont également ajouté qu’ils/elles évitaient complètement les sous-titres standards et préféraient se concentrer directement sur le match. Les commentaires des </w:t>
      </w:r>
      <w:proofErr w:type="spellStart"/>
      <w:r>
        <w:t>participant·e·s</w:t>
      </w:r>
      <w:proofErr w:type="spellEnd"/>
      <w:r>
        <w:t xml:space="preserve"> soutiennent l’idée d’interpréter la durée des regards dans la zone sans sous-titres, où les </w:t>
      </w:r>
      <w:proofErr w:type="spellStart"/>
      <w:r>
        <w:t>participant·e·s</w:t>
      </w:r>
      <w:proofErr w:type="spellEnd"/>
      <w:r>
        <w:t xml:space="preserve"> souhaitent se concentrer sur le visionnement des images et du match, avec le moins de distractions possible.</w:t>
      </w:r>
    </w:p>
    <w:p w14:paraId="28F3E8E5" w14:textId="77777777" w:rsidR="00071486" w:rsidRDefault="00000000">
      <w:r>
        <w:t xml:space="preserve">Cependant, les avis concernant les sous-titres de type transcription des commentaires n’étaient pas tous positifs, et les avis concernant les sous-titres de type intégral n’étaient pas tous négatifs. Une personne avait une préférence pour les sous-titres de type intégral, car elle était familière avec ce format, et plus particulièrement parce qu’elle avait la certitude que </w:t>
      </w:r>
      <w:r>
        <w:rPr>
          <w:i/>
          <w:iCs/>
        </w:rPr>
        <w:t>« tout y était »</w:t>
      </w:r>
      <w:r>
        <w:t xml:space="preserve">. D’autres commentaires faisaient référence au fait que les sous-titres de type transcription des commentaires ne mentionnaient pas le nom et le numéro des </w:t>
      </w:r>
      <w:proofErr w:type="spellStart"/>
      <w:r>
        <w:t>joueur·euse·s</w:t>
      </w:r>
      <w:proofErr w:type="spellEnd"/>
      <w:r>
        <w:t xml:space="preserve">, alors que les </w:t>
      </w:r>
      <w:proofErr w:type="spellStart"/>
      <w:r>
        <w:t>participant·e·s</w:t>
      </w:r>
      <w:proofErr w:type="spellEnd"/>
      <w:r>
        <w:t xml:space="preserve"> utilisent le sous-titrage pour se souvenir des noms. </w:t>
      </w:r>
    </w:p>
    <w:p w14:paraId="303A6638" w14:textId="77777777" w:rsidR="00071486" w:rsidRDefault="00000000">
      <w:pPr>
        <w:pStyle w:val="Heading2"/>
        <w:spacing w:after="200"/>
      </w:pPr>
      <w:bookmarkStart w:id="47" w:name="qd0pp55qihrn"/>
      <w:bookmarkStart w:id="48" w:name="_Toc151722648"/>
      <w:bookmarkEnd w:id="47"/>
      <w:r>
        <w:lastRenderedPageBreak/>
        <w:t>Préférences du format de sous-titrage, satisfaction de la qualité et expérience de visionnement</w:t>
      </w:r>
      <w:bookmarkEnd w:id="48"/>
    </w:p>
    <w:p w14:paraId="4B7041B1" w14:textId="14F808FF" w:rsidR="00071486" w:rsidRDefault="00000000">
      <w:r>
        <w:t xml:space="preserve">D’après les réponses au questionnaire, la majorité des </w:t>
      </w:r>
      <w:proofErr w:type="spellStart"/>
      <w:r>
        <w:t>participant·e·s</w:t>
      </w:r>
      <w:proofErr w:type="spellEnd"/>
      <w:r>
        <w:t xml:space="preserve"> (65 %) ont indiqué n’avoir aucune préférence quant au format de sous-titres. Les autres </w:t>
      </w:r>
      <w:proofErr w:type="spellStart"/>
      <w:r>
        <w:t>participant·e·s</w:t>
      </w:r>
      <w:proofErr w:type="spellEnd"/>
      <w:r>
        <w:t xml:space="preserve"> ont préféré le sous-titrage de type transcription des commentaires (27 %) au sous-titrage de type intégral (8 %). 60 % des </w:t>
      </w:r>
      <w:proofErr w:type="spellStart"/>
      <w:r>
        <w:t>participant·e·s</w:t>
      </w:r>
      <w:proofErr w:type="spellEnd"/>
      <w:r>
        <w:t xml:space="preserve"> </w:t>
      </w:r>
      <w:proofErr w:type="spellStart"/>
      <w:r>
        <w:t>sourd·e·s</w:t>
      </w:r>
      <w:proofErr w:type="spellEnd"/>
      <w:r>
        <w:t xml:space="preserve"> et 73 % des </w:t>
      </w:r>
      <w:proofErr w:type="spellStart"/>
      <w:r>
        <w:t>participant·e·s</w:t>
      </w:r>
      <w:proofErr w:type="spellEnd"/>
      <w:r>
        <w:t xml:space="preserve"> </w:t>
      </w:r>
      <w:proofErr w:type="spellStart"/>
      <w:r>
        <w:t>malentendant·e·s</w:t>
      </w:r>
      <w:proofErr w:type="spellEnd"/>
      <w:r>
        <w:t xml:space="preserve"> n’ont exprimé aucune préférence. Dans le groupe ayant exprimé une préférence, environ 33 % des </w:t>
      </w:r>
      <w:proofErr w:type="spellStart"/>
      <w:r>
        <w:t>participant·e·s</w:t>
      </w:r>
      <w:proofErr w:type="spellEnd"/>
      <w:r>
        <w:t xml:space="preserve"> </w:t>
      </w:r>
      <w:proofErr w:type="spellStart"/>
      <w:r>
        <w:t>sourd·e·s</w:t>
      </w:r>
      <w:proofErr w:type="spellEnd"/>
      <w:r>
        <w:t xml:space="preserve"> et 18 % des </w:t>
      </w:r>
      <w:proofErr w:type="spellStart"/>
      <w:r>
        <w:t>participant·e·s</w:t>
      </w:r>
      <w:proofErr w:type="spellEnd"/>
      <w:r>
        <w:t xml:space="preserve"> </w:t>
      </w:r>
      <w:proofErr w:type="spellStart"/>
      <w:r>
        <w:t>malentendant·e·s</w:t>
      </w:r>
      <w:proofErr w:type="spellEnd"/>
      <w:r>
        <w:t xml:space="preserve"> ont préféré les sous-titres de type transcription des commentaires, tandis que 7 % des </w:t>
      </w:r>
      <w:proofErr w:type="spellStart"/>
      <w:r>
        <w:t>participant·e·s</w:t>
      </w:r>
      <w:proofErr w:type="spellEnd"/>
      <w:r>
        <w:t xml:space="preserve"> </w:t>
      </w:r>
      <w:proofErr w:type="spellStart"/>
      <w:r>
        <w:t>sourd·e·s</w:t>
      </w:r>
      <w:proofErr w:type="spellEnd"/>
      <w:r>
        <w:t xml:space="preserve"> et 9 % des </w:t>
      </w:r>
      <w:proofErr w:type="spellStart"/>
      <w:r>
        <w:t>participant·e·s</w:t>
      </w:r>
      <w:proofErr w:type="spellEnd"/>
      <w:r>
        <w:t xml:space="preserve"> </w:t>
      </w:r>
      <w:proofErr w:type="spellStart"/>
      <w:r>
        <w:t>malentendant·e·s</w:t>
      </w:r>
      <w:proofErr w:type="spellEnd"/>
      <w:r>
        <w:t xml:space="preserve"> ont préféré les sous-titres de type intégral. </w:t>
      </w:r>
      <w:hyperlink w:anchor="_4uds3q2opvlp">
        <w:r>
          <w:rPr>
            <w:color w:val="1155CC"/>
            <w:u w:val="single"/>
          </w:rPr>
          <w:t>Le schéma 6</w:t>
        </w:r>
      </w:hyperlink>
      <w:r>
        <w:t xml:space="preserve"> présente la répartition des préférences parmi </w:t>
      </w:r>
      <w:proofErr w:type="gramStart"/>
      <w:r>
        <w:t xml:space="preserve">les </w:t>
      </w:r>
      <w:proofErr w:type="spellStart"/>
      <w:r>
        <w:t>participant</w:t>
      </w:r>
      <w:proofErr w:type="gramEnd"/>
      <w:r>
        <w:t>·e·s</w:t>
      </w:r>
      <w:proofErr w:type="spellEnd"/>
      <w:r>
        <w:t xml:space="preserve"> </w:t>
      </w:r>
      <w:proofErr w:type="spellStart"/>
      <w:r>
        <w:t>sourd·e·s</w:t>
      </w:r>
      <w:proofErr w:type="spellEnd"/>
      <w:r>
        <w:t xml:space="preserve"> et </w:t>
      </w:r>
      <w:proofErr w:type="spellStart"/>
      <w:r>
        <w:t>malentendant·e·s</w:t>
      </w:r>
      <w:proofErr w:type="spellEnd"/>
      <w:r>
        <w:t xml:space="preserve"> pour les deux sports combinés.</w:t>
      </w:r>
    </w:p>
    <w:p w14:paraId="2C950ADA" w14:textId="77777777" w:rsidR="00071486" w:rsidRDefault="00000000">
      <w:pPr>
        <w:pStyle w:val="Heading5"/>
        <w:rPr>
          <w:b/>
        </w:rPr>
      </w:pPr>
      <w:bookmarkStart w:id="49" w:name="_4uds3q2opvlp"/>
      <w:bookmarkStart w:id="50" w:name="_Toc151722649"/>
      <w:bookmarkEnd w:id="49"/>
      <w:r>
        <w:rPr>
          <w:b/>
        </w:rPr>
        <w:t xml:space="preserve">Schéma 6 : Nombre de </w:t>
      </w:r>
      <w:proofErr w:type="spellStart"/>
      <w:r>
        <w:rPr>
          <w:b/>
        </w:rPr>
        <w:t>participant·e·s</w:t>
      </w:r>
      <w:proofErr w:type="spellEnd"/>
      <w:r>
        <w:rPr>
          <w:b/>
        </w:rPr>
        <w:t xml:space="preserve"> selon leur préférence de format.</w:t>
      </w:r>
      <w:bookmarkEnd w:id="50"/>
    </w:p>
    <w:p w14:paraId="6CCE2815" w14:textId="77777777" w:rsidR="00071486" w:rsidRDefault="00000000">
      <w:pPr>
        <w:jc w:val="center"/>
      </w:pPr>
      <w:r>
        <w:rPr>
          <w:noProof/>
        </w:rPr>
        <w:drawing>
          <wp:inline distT="114300" distB="114300" distL="114300" distR="114300" wp14:anchorId="114F2E05" wp14:editId="25A52BD7">
            <wp:extent cx="3883152" cy="2939787"/>
            <wp:effectExtent l="12700" t="12700" r="12700" b="12700"/>
            <wp:docPr id="41" name="Picture 41"/>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3883152" cy="2939787"/>
                    </a:xfrm>
                    <a:prstGeom prst="rect">
                      <a:avLst/>
                    </a:prstGeom>
                    <a:ln w="12700">
                      <a:solidFill>
                        <a:srgbClr val="000000"/>
                      </a:solidFill>
                      <a:prstDash val="solid"/>
                    </a:ln>
                  </pic:spPr>
                </pic:pic>
              </a:graphicData>
            </a:graphic>
          </wp:inline>
        </w:drawing>
      </w:r>
    </w:p>
    <w:p w14:paraId="3BE49422" w14:textId="77777777" w:rsidR="00071486" w:rsidRDefault="00000000">
      <w:pPr>
        <w:spacing w:before="200"/>
      </w:pPr>
      <w:r>
        <w:t>Les évaluations de qualité perçue, d’expérience de visionnement et d’utilité des sous-titres après avoir visionné les séquences étaient meilleures pour le format de type transcription des commentaires que pour le format intégral, bien que ces différences n’aient pas été statistiquement significatives.</w:t>
      </w:r>
    </w:p>
    <w:p w14:paraId="4B13A269" w14:textId="77777777" w:rsidR="00071486" w:rsidRDefault="00000000">
      <w:pPr>
        <w:pStyle w:val="Heading5"/>
        <w:spacing w:after="0"/>
        <w:rPr>
          <w:b/>
        </w:rPr>
      </w:pPr>
      <w:bookmarkStart w:id="51" w:name="_t43bvz7vcaqf"/>
      <w:bookmarkStart w:id="52" w:name="_Toc151722650"/>
      <w:bookmarkEnd w:id="51"/>
      <w:r>
        <w:rPr>
          <w:b/>
        </w:rPr>
        <w:lastRenderedPageBreak/>
        <w:t>Schéma 7 : Moyenne et écart-type de l’évaluation de la satisfaction de la qualité, de l’expérience de visionnement et de l’utilité des sous-titres, où une note de 1 représente un niveau bas (soit une qualité très faible) et une note de 5 représente un niveau élevé (soit une très haute qualité).</w:t>
      </w:r>
      <w:bookmarkEnd w:id="52"/>
    </w:p>
    <w:p w14:paraId="4B4A699D" w14:textId="77777777" w:rsidR="00071486" w:rsidRDefault="00000000">
      <w:pPr>
        <w:jc w:val="center"/>
      </w:pPr>
      <w:r>
        <w:rPr>
          <w:noProof/>
        </w:rPr>
        <w:drawing>
          <wp:inline distT="114300" distB="114300" distL="114300" distR="114300" wp14:anchorId="4C8FAF85" wp14:editId="3F4D680B">
            <wp:extent cx="5176933" cy="2592582"/>
            <wp:effectExtent l="12700" t="12700" r="12700" b="12700"/>
            <wp:docPr id="42" name="Picture 42"/>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a:stretch>
                      <a:fillRect/>
                    </a:stretch>
                  </pic:blipFill>
                  <pic:spPr>
                    <a:xfrm>
                      <a:off x="0" y="0"/>
                      <a:ext cx="5176933" cy="2592582"/>
                    </a:xfrm>
                    <a:prstGeom prst="rect">
                      <a:avLst/>
                    </a:prstGeom>
                    <a:ln w="12700">
                      <a:solidFill>
                        <a:srgbClr val="434343"/>
                      </a:solidFill>
                      <a:prstDash val="solid"/>
                    </a:ln>
                  </pic:spPr>
                </pic:pic>
              </a:graphicData>
            </a:graphic>
          </wp:inline>
        </w:drawing>
      </w:r>
    </w:p>
    <w:p w14:paraId="00C29337" w14:textId="77777777" w:rsidR="00071486" w:rsidRDefault="00000000">
      <w:pPr>
        <w:spacing w:before="200"/>
      </w:pPr>
      <w:r>
        <w:t xml:space="preserve">Les </w:t>
      </w:r>
      <w:proofErr w:type="spellStart"/>
      <w:r>
        <w:t>participant·e·s</w:t>
      </w:r>
      <w:proofErr w:type="spellEnd"/>
      <w:r>
        <w:t xml:space="preserve"> ont également été </w:t>
      </w:r>
      <w:proofErr w:type="spellStart"/>
      <w:r>
        <w:t>invité·e·s</w:t>
      </w:r>
      <w:proofErr w:type="spellEnd"/>
      <w:r>
        <w:t xml:space="preserve"> à évaluer la qualité de quatre facteurs (délai de synchronisation, durée d’affichage, identification des </w:t>
      </w:r>
      <w:proofErr w:type="spellStart"/>
      <w:r>
        <w:t>intervenant·e·s</w:t>
      </w:r>
      <w:proofErr w:type="spellEnd"/>
      <w:r>
        <w:t xml:space="preserve"> et emplacement des sous-titres à l’écran), ainsi qu’une évaluation globale de la satisfaction de la qualité. Des corrélations ont été observées entre les notes de chacun des quatre facteurs de qualité des sous-titres en direct et la note de satisfaction globale. Globalement, il existait une corrélation entre les quatre évaluations et la satisfaction générale quant à la qualité des sous-titres, ce qui suggère leur importance dans la perception de leur qualité par les personnes sourdes ou malentendantes.</w:t>
      </w:r>
    </w:p>
    <w:p w14:paraId="43965D07" w14:textId="77777777" w:rsidR="00071486" w:rsidRDefault="00000000">
      <w:pPr>
        <w:pStyle w:val="Heading5"/>
        <w:spacing w:after="0"/>
        <w:rPr>
          <w:b/>
        </w:rPr>
      </w:pPr>
      <w:bookmarkStart w:id="53" w:name="_fabzkz4sc8w6"/>
      <w:bookmarkStart w:id="54" w:name="_Toc151722651"/>
      <w:bookmarkEnd w:id="53"/>
      <w:r>
        <w:rPr>
          <w:b/>
        </w:rPr>
        <w:t>Schéma 8 : Diagrammes en couleur illustrant la corrélation entre les évaluations des conditions des deux formats de sous-titres, mesurée par le coefficient de Kendall.</w:t>
      </w:r>
      <w:bookmarkEnd w:id="54"/>
    </w:p>
    <w:p w14:paraId="7A7BAA49" w14:textId="77777777" w:rsidR="00071486" w:rsidRDefault="00000000">
      <w:pPr>
        <w:spacing w:after="0" w:line="312" w:lineRule="auto"/>
        <w:jc w:val="center"/>
        <w:rPr>
          <w:rFonts w:ascii="Helvetica Neue" w:eastAsia="Helvetica Neue" w:hAnsi="Helvetica Neue" w:cs="Helvetica Neue"/>
          <w:b/>
        </w:rPr>
      </w:pPr>
      <w:r>
        <w:rPr>
          <w:rFonts w:ascii="Helvetica Neue" w:hAnsi="Helvetica Neue"/>
          <w:noProof/>
        </w:rPr>
        <w:drawing>
          <wp:inline distT="114300" distB="114300" distL="114300" distR="114300" wp14:anchorId="179D48F6" wp14:editId="0804CC7A">
            <wp:extent cx="5349240" cy="2970886"/>
            <wp:effectExtent l="12700" t="12700" r="12700" b="12700"/>
            <wp:docPr id="43" name="Picture 43"/>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5349240" cy="2970886"/>
                    </a:xfrm>
                    <a:prstGeom prst="rect">
                      <a:avLst/>
                    </a:prstGeom>
                    <a:ln w="12700">
                      <a:solidFill>
                        <a:srgbClr val="000000"/>
                      </a:solidFill>
                      <a:prstDash val="solid"/>
                    </a:ln>
                  </pic:spPr>
                </pic:pic>
              </a:graphicData>
            </a:graphic>
          </wp:inline>
        </w:drawing>
      </w:r>
    </w:p>
    <w:p w14:paraId="7540A887" w14:textId="77777777" w:rsidR="00071486" w:rsidRDefault="00071486">
      <w:pPr>
        <w:pStyle w:val="Heading3"/>
        <w:spacing w:after="200"/>
      </w:pPr>
      <w:bookmarkStart w:id="55" w:name="_iqwn8qayvd9z"/>
      <w:bookmarkEnd w:id="55"/>
    </w:p>
    <w:p w14:paraId="4C8E468B" w14:textId="77777777" w:rsidR="00071486" w:rsidRDefault="00000000">
      <w:pPr>
        <w:pStyle w:val="Heading2"/>
        <w:spacing w:after="200"/>
      </w:pPr>
      <w:bookmarkStart w:id="56" w:name="s21rn1qstdnt"/>
      <w:bookmarkStart w:id="57" w:name="_Toc151722652"/>
      <w:bookmarkEnd w:id="56"/>
      <w:r>
        <w:t>Compréhension</w:t>
      </w:r>
      <w:bookmarkEnd w:id="57"/>
    </w:p>
    <w:p w14:paraId="093513F2" w14:textId="77777777" w:rsidR="00071486" w:rsidRDefault="00000000">
      <w:r>
        <w:t xml:space="preserve">Après l’étude, nous avons réalisé des entrevues pour évaluer la compréhension des </w:t>
      </w:r>
      <w:proofErr w:type="spellStart"/>
      <w:r>
        <w:t>participant·e·s</w:t>
      </w:r>
      <w:proofErr w:type="spellEnd"/>
      <w:r>
        <w:t xml:space="preserve"> quant au déroulement du match. Deux thèmes ont été abordés : les aspects liés au déroulement du match, c’est-à-dire les actions survenant pendant le match (par exemple, qui a marqué) et les questions relatives aux commentaires des </w:t>
      </w:r>
      <w:proofErr w:type="spellStart"/>
      <w:r>
        <w:t>commentateur·rice·s</w:t>
      </w:r>
      <w:proofErr w:type="spellEnd"/>
      <w:r>
        <w:t xml:space="preserve"> durant les moments non liés au match (par exemple, leur opinion sur la qualité de l’arbitrage). Les entrevues ont été conçues pour recréer une ambiance de conversation décontractée, similaire à celle que l’on pourrait avoir dans un bar sportif ou entre </w:t>
      </w:r>
      <w:proofErr w:type="spellStart"/>
      <w:r>
        <w:t>ami·e·s</w:t>
      </w:r>
      <w:proofErr w:type="spellEnd"/>
      <w:r>
        <w:t xml:space="preserve"> après avoir regardé un match. Les </w:t>
      </w:r>
      <w:proofErr w:type="spellStart"/>
      <w:r>
        <w:t>participant·e·s</w:t>
      </w:r>
      <w:proofErr w:type="spellEnd"/>
      <w:r>
        <w:t xml:space="preserve"> </w:t>
      </w:r>
      <w:proofErr w:type="spellStart"/>
      <w:r>
        <w:t>malentendant·e·s</w:t>
      </w:r>
      <w:proofErr w:type="spellEnd"/>
      <w:r>
        <w:t xml:space="preserve"> ont obtenu des scores de compréhension plus élevés que les </w:t>
      </w:r>
      <w:proofErr w:type="spellStart"/>
      <w:r>
        <w:t>participant·e·s</w:t>
      </w:r>
      <w:proofErr w:type="spellEnd"/>
      <w:r>
        <w:t xml:space="preserve"> </w:t>
      </w:r>
      <w:proofErr w:type="spellStart"/>
      <w:r>
        <w:t>sourd·e·s</w:t>
      </w:r>
      <w:proofErr w:type="spellEnd"/>
      <w:r>
        <w:t xml:space="preserve">, en particulier lorsqu’il s’agissait des sujets liés À la transcription des commentaires. L’analyse statistique n’a révélé aucune corrélation significative entre les formats de sous-titres et les scores de compréhension. Cependant, il semblait y avoir des scores plus élevés lorsque les </w:t>
      </w:r>
      <w:proofErr w:type="spellStart"/>
      <w:r>
        <w:t>participant·e·s</w:t>
      </w:r>
      <w:proofErr w:type="spellEnd"/>
      <w:r>
        <w:t xml:space="preserve"> discutaient des sujets liés aux commentaires par rapport au déroulement du match. </w:t>
      </w:r>
    </w:p>
    <w:p w14:paraId="544AEF66" w14:textId="64174CE1" w:rsidR="00071486" w:rsidRDefault="00000000">
      <w:pPr>
        <w:pStyle w:val="Heading5"/>
        <w:spacing w:after="0"/>
      </w:pPr>
      <w:bookmarkStart w:id="58" w:name="_6yafbhwlo70"/>
      <w:bookmarkStart w:id="59" w:name="_Toc151722653"/>
      <w:bookmarkEnd w:id="58"/>
      <w:r>
        <w:t xml:space="preserve">Schéma 9 : Moyenne et écart type des scores de compréhension des questions liées </w:t>
      </w:r>
      <w:r w:rsidR="00ED370E">
        <w:t>au déroulement</w:t>
      </w:r>
      <w:r>
        <w:t xml:space="preserve"> du match et aux commentaires.</w:t>
      </w:r>
      <w:bookmarkEnd w:id="59"/>
    </w:p>
    <w:tbl>
      <w:tblPr>
        <w:tblStyle w:val="a5"/>
        <w:tblW w:w="8145" w:type="dxa"/>
        <w:tblInd w:w="9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10"/>
        <w:gridCol w:w="4035"/>
      </w:tblGrid>
      <w:tr w:rsidR="00071486" w14:paraId="6278D194" w14:textId="77777777">
        <w:tc>
          <w:tcPr>
            <w:tcW w:w="4110" w:type="dxa"/>
            <w:tcBorders>
              <w:right w:val="single" w:sz="8" w:space="0" w:color="FFFFFF"/>
            </w:tcBorders>
            <w:shd w:val="clear" w:color="auto" w:fill="auto"/>
            <w:tcMar>
              <w:top w:w="100" w:type="dxa"/>
              <w:left w:w="100" w:type="dxa"/>
              <w:bottom w:w="100" w:type="dxa"/>
              <w:right w:w="100" w:type="dxa"/>
            </w:tcMar>
          </w:tcPr>
          <w:p w14:paraId="59CEF6A4" w14:textId="77777777" w:rsidR="00071486" w:rsidRDefault="00000000">
            <w:pPr>
              <w:widowControl w:val="0"/>
              <w:pBdr>
                <w:top w:val="nil"/>
                <w:left w:val="nil"/>
                <w:bottom w:val="nil"/>
                <w:right w:val="nil"/>
                <w:between w:val="nil"/>
              </w:pBdr>
              <w:spacing w:after="0" w:line="240" w:lineRule="auto"/>
              <w:jc w:val="right"/>
            </w:pPr>
            <w:r>
              <w:rPr>
                <w:noProof/>
              </w:rPr>
              <w:drawing>
                <wp:inline distT="114300" distB="114300" distL="114300" distR="114300" wp14:anchorId="3B252642" wp14:editId="1B3985D3">
                  <wp:extent cx="2446020" cy="242405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2446020" cy="2424050"/>
                          </a:xfrm>
                          <a:prstGeom prst="rect">
                            <a:avLst/>
                          </a:prstGeom>
                          <a:ln/>
                        </pic:spPr>
                      </pic:pic>
                    </a:graphicData>
                  </a:graphic>
                </wp:inline>
              </w:drawing>
            </w:r>
          </w:p>
        </w:tc>
        <w:tc>
          <w:tcPr>
            <w:tcW w:w="4035" w:type="dxa"/>
            <w:tcBorders>
              <w:left w:val="single" w:sz="8" w:space="0" w:color="FFFFFF"/>
            </w:tcBorders>
            <w:shd w:val="clear" w:color="auto" w:fill="auto"/>
            <w:tcMar>
              <w:top w:w="100" w:type="dxa"/>
              <w:left w:w="100" w:type="dxa"/>
              <w:bottom w:w="100" w:type="dxa"/>
              <w:right w:w="100" w:type="dxa"/>
            </w:tcMar>
          </w:tcPr>
          <w:p w14:paraId="73D8E291" w14:textId="77777777" w:rsidR="00071486" w:rsidRDefault="00000000">
            <w:pPr>
              <w:widowControl w:val="0"/>
              <w:pBdr>
                <w:top w:val="nil"/>
                <w:left w:val="nil"/>
                <w:bottom w:val="nil"/>
                <w:right w:val="nil"/>
                <w:between w:val="nil"/>
              </w:pBdr>
              <w:spacing w:after="0" w:line="240" w:lineRule="auto"/>
            </w:pPr>
            <w:r>
              <w:rPr>
                <w:noProof/>
              </w:rPr>
              <w:drawing>
                <wp:inline distT="114300" distB="114300" distL="114300" distR="114300" wp14:anchorId="08CFACF3" wp14:editId="222A89B8">
                  <wp:extent cx="2428875" cy="2400300"/>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2428875" cy="2400300"/>
                          </a:xfrm>
                          <a:prstGeom prst="rect">
                            <a:avLst/>
                          </a:prstGeom>
                          <a:ln/>
                        </pic:spPr>
                      </pic:pic>
                    </a:graphicData>
                  </a:graphic>
                </wp:inline>
              </w:drawing>
            </w:r>
          </w:p>
        </w:tc>
      </w:tr>
    </w:tbl>
    <w:p w14:paraId="500D132D" w14:textId="77777777" w:rsidR="00071486" w:rsidRDefault="00071486"/>
    <w:p w14:paraId="20A57B38" w14:textId="77777777" w:rsidR="00071486" w:rsidRDefault="00000000">
      <w:pPr>
        <w:pStyle w:val="Heading2"/>
      </w:pPr>
      <w:bookmarkStart w:id="60" w:name="gr1t7rlp6cvc"/>
      <w:bookmarkStart w:id="61" w:name="_Toc151722654"/>
      <w:bookmarkEnd w:id="60"/>
      <w:r>
        <w:t>Limites de l’étude</w:t>
      </w:r>
      <w:bookmarkEnd w:id="61"/>
    </w:p>
    <w:p w14:paraId="0774CCF8" w14:textId="77777777" w:rsidR="00071486" w:rsidRDefault="00000000">
      <w:pPr>
        <w:spacing w:before="200"/>
      </w:pPr>
      <w:r>
        <w:t xml:space="preserve">Malgré les précieuses informations que nous avons pu recueillir sur le comportement des yeux lors de la visualisation de sous-titres dans différents formats, les préférences en matière de sous-titrage et les facteurs de qualité essentiels pour </w:t>
      </w:r>
      <w:proofErr w:type="gramStart"/>
      <w:r>
        <w:t xml:space="preserve">les </w:t>
      </w:r>
      <w:proofErr w:type="spellStart"/>
      <w:r>
        <w:t>participant</w:t>
      </w:r>
      <w:proofErr w:type="gramEnd"/>
      <w:r>
        <w:t>·e·s</w:t>
      </w:r>
      <w:proofErr w:type="spellEnd"/>
      <w:r>
        <w:t xml:space="preserve"> </w:t>
      </w:r>
      <w:proofErr w:type="spellStart"/>
      <w:r>
        <w:t>sourd·e·s</w:t>
      </w:r>
      <w:proofErr w:type="spellEnd"/>
      <w:r>
        <w:t xml:space="preserve"> et </w:t>
      </w:r>
      <w:proofErr w:type="spellStart"/>
      <w:r>
        <w:t>malentendant·e·s</w:t>
      </w:r>
      <w:proofErr w:type="spellEnd"/>
      <w:r>
        <w:t>, il est important de noter quelques limites.</w:t>
      </w:r>
    </w:p>
    <w:p w14:paraId="26E7ED5C" w14:textId="77777777" w:rsidR="00071486" w:rsidRDefault="00000000">
      <w:r>
        <w:t xml:space="preserve">Une des principales limites de cette étude réside dans la faible taille de l’échantillon de </w:t>
      </w:r>
      <w:proofErr w:type="spellStart"/>
      <w:r>
        <w:t>participant·e·s</w:t>
      </w:r>
      <w:proofErr w:type="spellEnd"/>
      <w:r>
        <w:t xml:space="preserve">. Parce qu’il est difficile de mobiliser des personnes sourdes et malentendantes intéressées par les diffusions sportives à rythme rapide, notre nombre de </w:t>
      </w:r>
      <w:proofErr w:type="spellStart"/>
      <w:r>
        <w:t>participant·e·s</w:t>
      </w:r>
      <w:proofErr w:type="spellEnd"/>
      <w:r>
        <w:t xml:space="preserve"> a été limité. La taille modeste de l’échantillon limite la possibilité de généraliser nos résultats, car les schémas observés chez ces </w:t>
      </w:r>
      <w:proofErr w:type="spellStart"/>
      <w:r>
        <w:t>participant·e·s</w:t>
      </w:r>
      <w:proofErr w:type="spellEnd"/>
      <w:r>
        <w:t xml:space="preserve"> peuvent ne pas être représentatifs de la population plus large des personnes sourdes ou malentendantes. Il est essentiel pour les </w:t>
      </w:r>
      <w:r>
        <w:lastRenderedPageBreak/>
        <w:t xml:space="preserve">futures études, de recruter un échantillon de </w:t>
      </w:r>
      <w:proofErr w:type="spellStart"/>
      <w:r>
        <w:t>participant·e·s</w:t>
      </w:r>
      <w:proofErr w:type="spellEnd"/>
      <w:r>
        <w:t xml:space="preserve"> plus conséquent afin d’accroître la fiabilité des conclusions et la possibilité de les généraliser.</w:t>
      </w:r>
    </w:p>
    <w:p w14:paraId="2A899CCB" w14:textId="77777777" w:rsidR="00071486" w:rsidRDefault="00000000">
      <w:r>
        <w:t>Une limite supplémentaire de l’étude réside dans la forte variabilité des données de suivi oculaire observée d’</w:t>
      </w:r>
      <w:proofErr w:type="spellStart"/>
      <w:r>
        <w:t>un·e</w:t>
      </w:r>
      <w:proofErr w:type="spellEnd"/>
      <w:r>
        <w:t xml:space="preserve"> </w:t>
      </w:r>
      <w:proofErr w:type="spellStart"/>
      <w:r>
        <w:t>participant·e</w:t>
      </w:r>
      <w:proofErr w:type="spellEnd"/>
      <w:r>
        <w:t xml:space="preserve"> à </w:t>
      </w:r>
      <w:proofErr w:type="spellStart"/>
      <w:r>
        <w:t>un·e</w:t>
      </w:r>
      <w:proofErr w:type="spellEnd"/>
      <w:r>
        <w:t xml:space="preserve"> autre. Nous avons observé un large éventail de variabilités dans les schémas de fixation entre </w:t>
      </w:r>
      <w:proofErr w:type="gramStart"/>
      <w:r>
        <w:t xml:space="preserve">les </w:t>
      </w:r>
      <w:proofErr w:type="spellStart"/>
      <w:r>
        <w:t>participant</w:t>
      </w:r>
      <w:proofErr w:type="gramEnd"/>
      <w:r>
        <w:t>·e·s</w:t>
      </w:r>
      <w:proofErr w:type="spellEnd"/>
      <w:r>
        <w:t xml:space="preserve">, ce qui indique qu’il peut y avoir des différences individuelles dans le visionnement des sous-titres. La variabilité des données pourrait également avoir été influencée par des différences individuelles dans les capacités cognitives ou d’attention, ce qui aurait pu affecter la manière dont les </w:t>
      </w:r>
      <w:proofErr w:type="spellStart"/>
      <w:r>
        <w:t>participant·e·s</w:t>
      </w:r>
      <w:proofErr w:type="spellEnd"/>
      <w:r>
        <w:t xml:space="preserve"> ont abordé les différents formats de sous-titrage. Cela peut aussi être révélateur des limites de l’équipement de suivi oculaire, qui doit être calibré pour chaque personne. Si la personne bouge ou change la position de sa tête, le calibrage peut être perdu, ce qui réduit le nombre de points de données.</w:t>
      </w:r>
    </w:p>
    <w:p w14:paraId="7C50DE53" w14:textId="77777777" w:rsidR="00071486" w:rsidRDefault="00000000">
      <w:r>
        <w:t xml:space="preserve">Par ailleurs, une autre limite tient à la manière dont les formats de sous-titrage ont été créés différemment. Contrairement au sous-titrage de type intégral, une pratique normalisée et familière, le sous-titrage de type transcription des commentaires était une nouvelle idée pour </w:t>
      </w:r>
      <w:proofErr w:type="gramStart"/>
      <w:r>
        <w:t xml:space="preserve">les </w:t>
      </w:r>
      <w:proofErr w:type="spellStart"/>
      <w:r>
        <w:t>créateur</w:t>
      </w:r>
      <w:proofErr w:type="gramEnd"/>
      <w:r>
        <w:t>·trice·s</w:t>
      </w:r>
      <w:proofErr w:type="spellEnd"/>
      <w:r>
        <w:t xml:space="preserve"> de sous-titres, qui ont dû ajuster leur approche du sous-titrage pour pouvoir produire ce format. Les stimuli utilisés dans cette étude reflétaient la pratique du sous-titrage en direct ont été créés par une personne spécialisée et expérimentée dans le domaine. Cependant, il y avait des différences au niveau de l’emplacement des sous-titres et des majuscules. L’emplacement des sous-titres de type intégral variait afin de ne pas masquer les informations à l’écran (par exemple, le tableau des scores) et tous les sous-titres étaient en majuscules. En revanche, les sous-titres de type transcription des commentaires apparaissaient toujours à la même position (en bas au centre) et étaient en casse mixte, à l’exception du premier caractère, ce qui pourrait avoir influencé l’opinion des </w:t>
      </w:r>
      <w:proofErr w:type="spellStart"/>
      <w:r>
        <w:t>participant·e·s</w:t>
      </w:r>
      <w:proofErr w:type="spellEnd"/>
      <w:r>
        <w:t xml:space="preserve"> sur la lisibilité et la qualité des sous-titres, bien que ces relations n’aient pas encore été étudiées.</w:t>
      </w:r>
    </w:p>
    <w:p w14:paraId="456E1A67" w14:textId="77777777" w:rsidR="00071486" w:rsidRDefault="00071486"/>
    <w:p w14:paraId="2BF7ABD3" w14:textId="77777777" w:rsidR="00071486" w:rsidRDefault="00000000">
      <w:pPr>
        <w:pStyle w:val="Heading1"/>
        <w:ind w:left="0" w:firstLine="0"/>
      </w:pPr>
      <w:bookmarkStart w:id="62" w:name="5jxwxmn8uhwb"/>
      <w:bookmarkStart w:id="63" w:name="_Toc151722655"/>
      <w:bookmarkEnd w:id="62"/>
      <w:r>
        <w:t>Conclusion</w:t>
      </w:r>
      <w:bookmarkEnd w:id="63"/>
    </w:p>
    <w:p w14:paraId="57877F4A" w14:textId="77777777" w:rsidR="00071486" w:rsidRDefault="00000000">
      <w:pPr>
        <w:spacing w:before="200"/>
      </w:pPr>
      <w:r>
        <w:t xml:space="preserve">Cette étude pionnière au Canada a apporté des éclairages précieux sur l’expérience des </w:t>
      </w:r>
      <w:proofErr w:type="spellStart"/>
      <w:r>
        <w:t>utilisateur·trice·s</w:t>
      </w:r>
      <w:proofErr w:type="spellEnd"/>
      <w:r>
        <w:t xml:space="preserve"> lors du visionnement de sous-titres en direct pour des sports à rythme rapide, tels que le hockey et le basketball. Alors que les </w:t>
      </w:r>
      <w:proofErr w:type="spellStart"/>
      <w:r>
        <w:t>professionnel·le</w:t>
      </w:r>
      <w:proofErr w:type="spellEnd"/>
      <w:r>
        <w:t xml:space="preserve">· s et les </w:t>
      </w:r>
      <w:proofErr w:type="spellStart"/>
      <w:r>
        <w:t>téléspectateur·trice·s</w:t>
      </w:r>
      <w:proofErr w:type="spellEnd"/>
      <w:r>
        <w:t xml:space="preserve"> sont </w:t>
      </w:r>
      <w:proofErr w:type="spellStart"/>
      <w:r>
        <w:t>conscient·e·s</w:t>
      </w:r>
      <w:proofErr w:type="spellEnd"/>
      <w:r>
        <w:t xml:space="preserve"> de la nécessité de résoudre les problèmes généraux liés au sous-titrage en direct, tels que le délai de synchronisation, la précision, la vitesse des sous-titres, l’identification des </w:t>
      </w:r>
      <w:proofErr w:type="spellStart"/>
      <w:r>
        <w:t>internevant·e·s</w:t>
      </w:r>
      <w:proofErr w:type="spellEnd"/>
      <w:r>
        <w:t>, le positionnement des sous-titres et la lisibilité, un aspect spécifique du sous-titrage en direct pour les sports à rythme rapide concerne les difficultés liées à la production et à la lecture d’un nombre élevé de mots par minute. Dans le cadre de cette étude, nous avons introduit un nouveau format de sous-titrage pour la retransmission sportive en direct, qui se concentre exclusivement sur la transcription des commentaires et utilise un nombre réduit de mots par rapport au format de sous-titrage standard.</w:t>
      </w:r>
    </w:p>
    <w:p w14:paraId="042B1839" w14:textId="77777777" w:rsidR="00071486" w:rsidRDefault="00000000">
      <w:pPr>
        <w:spacing w:before="200"/>
      </w:pPr>
      <w:r>
        <w:t xml:space="preserve">Les résultats de la partie de l’étude consacrée au suivi oculaire ont révélé qu’il n’y avait pas de différences statistiquement significatives entre les deux formats de sous-titrage. Cependant, les analyses descriptives ont révélé une distinction en ce qui concerne la durée et la fréquence des regards portés par </w:t>
      </w:r>
      <w:proofErr w:type="gramStart"/>
      <w:r>
        <w:t xml:space="preserve">les </w:t>
      </w:r>
      <w:proofErr w:type="spellStart"/>
      <w:r>
        <w:t>participant</w:t>
      </w:r>
      <w:proofErr w:type="gramEnd"/>
      <w:r>
        <w:t>·e·s</w:t>
      </w:r>
      <w:proofErr w:type="spellEnd"/>
      <w:r>
        <w:t xml:space="preserve">. Ces </w:t>
      </w:r>
      <w:proofErr w:type="spellStart"/>
      <w:r>
        <w:t>dernier·ère·s</w:t>
      </w:r>
      <w:proofErr w:type="spellEnd"/>
      <w:r>
        <w:t xml:space="preserve"> ont passé plus de temps à regarder et ont consulté plus fréquemment le sous-titrage de type transcription des commentaires. En outre, les réponses des </w:t>
      </w:r>
      <w:proofErr w:type="spellStart"/>
      <w:r>
        <w:t>participant·e·s</w:t>
      </w:r>
      <w:proofErr w:type="spellEnd"/>
      <w:r>
        <w:t xml:space="preserve"> concernant la satisfaction de la qualité des sous-titres, l’expérience de visionnement et l’aide à la compréhension témoignent d’une préférence pour les sous-titres de type transcription des </w:t>
      </w:r>
      <w:proofErr w:type="spellStart"/>
      <w:r>
        <w:t>commentateur·trice·s</w:t>
      </w:r>
      <w:proofErr w:type="spellEnd"/>
      <w:r>
        <w:t xml:space="preserve"> en direct. Par ailleurs, bien que de nombreux </w:t>
      </w:r>
      <w:proofErr w:type="spellStart"/>
      <w:r>
        <w:lastRenderedPageBreak/>
        <w:t>participant·e·s</w:t>
      </w:r>
      <w:proofErr w:type="spellEnd"/>
      <w:r>
        <w:t xml:space="preserve"> n’aient exprimé aucune préférence quant au format de sous-titrage, les commentaires des </w:t>
      </w:r>
      <w:proofErr w:type="spellStart"/>
      <w:r>
        <w:t>participant·e·s</w:t>
      </w:r>
      <w:proofErr w:type="spellEnd"/>
      <w:r>
        <w:t xml:space="preserve"> ont permis d’approfondir les motivations sous-jacentes à leurs préférences subjectives. Les résultats de cette étude ont été surprenants, car les </w:t>
      </w:r>
      <w:proofErr w:type="spellStart"/>
      <w:r>
        <w:t>participant·e·s</w:t>
      </w:r>
      <w:proofErr w:type="spellEnd"/>
      <w:r>
        <w:t xml:space="preserve"> ont manifesté un enthousiasme considérable envers le sous-titrage de type transcription des commentaires, même si l’étude était initialement centrée sur le sous-titrage intégral, le seul format disponible pour </w:t>
      </w:r>
      <w:proofErr w:type="gramStart"/>
      <w:r>
        <w:t xml:space="preserve">les </w:t>
      </w:r>
      <w:proofErr w:type="spellStart"/>
      <w:r>
        <w:t>téléspectateur</w:t>
      </w:r>
      <w:proofErr w:type="gramEnd"/>
      <w:r>
        <w:t>·trice·s</w:t>
      </w:r>
      <w:proofErr w:type="spellEnd"/>
      <w:r>
        <w:t xml:space="preserve"> jusqu’à présent.</w:t>
      </w:r>
    </w:p>
    <w:p w14:paraId="044CEA20" w14:textId="77777777" w:rsidR="00071486" w:rsidRDefault="00000000">
      <w:pPr>
        <w:spacing w:before="200"/>
        <w:rPr>
          <w:color w:val="004D9A"/>
          <w:sz w:val="32"/>
          <w:szCs w:val="32"/>
        </w:rPr>
      </w:pPr>
      <w:r>
        <w:t xml:space="preserve">Les résultats de cette étude ouvrent la voie à la possibilité d’une étude longitudinale pour explorer davantage le sous-titrage de transcription des commentaires. Il serait intéressant de déterminer la viabilité de ce format de sous-titrage et la satisfaction des téléspectateurs une fois l’effet de nouveauté dissipé. De plus, une étude longitudinale pourrait indiquer si les sous-titres basés uniquement sur les commentaires réduisent suffisamment certains compromis entre vitesse, précision et délai dans le sous-titrage en direct des sports à rythme rapide, tout en améliorant l’expérience des </w:t>
      </w:r>
      <w:proofErr w:type="spellStart"/>
      <w:r>
        <w:t>téléspectateur·trice·s</w:t>
      </w:r>
      <w:proofErr w:type="spellEnd"/>
      <w:r>
        <w:t>.</w:t>
      </w:r>
    </w:p>
    <w:sectPr w:rsidR="00071486">
      <w:pgSz w:w="12240" w:h="15840"/>
      <w:pgMar w:top="1134" w:right="1041"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4216B" w14:textId="77777777" w:rsidR="00244B47" w:rsidRDefault="00244B47">
      <w:pPr>
        <w:spacing w:after="0" w:line="240" w:lineRule="auto"/>
      </w:pPr>
      <w:r>
        <w:separator/>
      </w:r>
    </w:p>
  </w:endnote>
  <w:endnote w:type="continuationSeparator" w:id="0">
    <w:p w14:paraId="5443F465" w14:textId="77777777" w:rsidR="00244B47" w:rsidRDefault="00244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83382" w14:textId="77777777" w:rsidR="002C6C65" w:rsidRDefault="002C6C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4122E" w14:textId="77777777" w:rsidR="00071486" w:rsidRDefault="00071486">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B1668" w14:textId="77777777" w:rsidR="002C6C65" w:rsidRDefault="002C6C6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0207" w14:textId="60EF26E5" w:rsidR="00071486" w:rsidRDefault="002C6C65">
    <w:pPr>
      <w:pBdr>
        <w:top w:val="single" w:sz="4" w:space="1" w:color="000000"/>
        <w:left w:val="nil"/>
        <w:bottom w:val="nil"/>
        <w:right w:val="nil"/>
        <w:between w:val="nil"/>
      </w:pBdr>
      <w:tabs>
        <w:tab w:val="center" w:pos="4680"/>
        <w:tab w:val="right" w:pos="9360"/>
      </w:tabs>
      <w:spacing w:after="0" w:line="240" w:lineRule="auto"/>
      <w:rPr>
        <w:color w:val="000000"/>
      </w:rPr>
    </w:pPr>
    <w:r>
      <w:rPr>
        <w:color w:val="000000"/>
      </w:rPr>
      <w:t>Mars 2023</w:t>
    </w:r>
    <w:r>
      <w:rPr>
        <w:color w:val="000000"/>
      </w:rPr>
      <w:tab/>
    </w:r>
    <w:r>
      <w:rPr>
        <w:color w:val="000000"/>
      </w:rPr>
      <w:tab/>
    </w:r>
    <w:r>
      <w:rPr>
        <w:color w:val="000000"/>
      </w:rPr>
      <w:fldChar w:fldCharType="begin"/>
    </w:r>
    <w:r>
      <w:rPr>
        <w:color w:val="000000"/>
      </w:rPr>
      <w:instrText>PAGE</w:instrText>
    </w:r>
    <w:r>
      <w:rPr>
        <w:color w:val="000000"/>
      </w:rPr>
      <w:fldChar w:fldCharType="separate"/>
    </w:r>
    <w:r w:rsidR="00D90D58">
      <w:rPr>
        <w:color w:val="000000"/>
      </w:rPr>
      <w:t>1</w:t>
    </w:r>
    <w:r>
      <w:rPr>
        <w:color w:val="000000"/>
      </w:rPr>
      <w:fldChar w:fldCharType="end"/>
    </w:r>
  </w:p>
  <w:p w14:paraId="7B6089E6" w14:textId="77777777" w:rsidR="00071486" w:rsidRDefault="00071486">
    <w:pPr>
      <w:widowControl w:val="0"/>
      <w:pBdr>
        <w:top w:val="nil"/>
        <w:left w:val="nil"/>
        <w:bottom w:val="nil"/>
        <w:right w:val="nil"/>
        <w:between w:val="nil"/>
      </w:pBdr>
      <w:spacing w:after="0" w:line="276"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6A035" w14:textId="07FF0D89" w:rsidR="00071486" w:rsidRDefault="002C6C65">
    <w:pPr>
      <w:pBdr>
        <w:top w:val="single" w:sz="4" w:space="1" w:color="000000"/>
        <w:left w:val="nil"/>
        <w:bottom w:val="nil"/>
        <w:right w:val="nil"/>
        <w:between w:val="nil"/>
      </w:pBdr>
      <w:tabs>
        <w:tab w:val="center" w:pos="4680"/>
        <w:tab w:val="right" w:pos="9360"/>
      </w:tabs>
      <w:spacing w:after="0" w:line="240" w:lineRule="auto"/>
      <w:rPr>
        <w:color w:val="000000"/>
      </w:rPr>
    </w:pPr>
    <w:r>
      <w:rPr>
        <w:color w:val="000000"/>
      </w:rPr>
      <w:t>Mars 2023</w:t>
    </w:r>
    <w:r>
      <w:rPr>
        <w:color w:val="000000"/>
      </w:rPr>
      <w:tab/>
    </w:r>
    <w:r>
      <w:rPr>
        <w:color w:val="000000"/>
      </w:rPr>
      <w:tab/>
    </w:r>
    <w:r>
      <w:rPr>
        <w:color w:val="000000"/>
      </w:rPr>
      <w:fldChar w:fldCharType="begin"/>
    </w:r>
    <w:r>
      <w:rPr>
        <w:color w:val="000000"/>
      </w:rPr>
      <w:instrText>PAGE</w:instrText>
    </w:r>
    <w:r>
      <w:rPr>
        <w:color w:val="000000"/>
      </w:rPr>
      <w:fldChar w:fldCharType="separate"/>
    </w:r>
    <w:r w:rsidR="00D90D58">
      <w:rPr>
        <w:color w:val="000000"/>
      </w:rPr>
      <w:t>2</w:t>
    </w:r>
    <w:r>
      <w:rPr>
        <w:color w:val="000000"/>
      </w:rPr>
      <w:fldChar w:fldCharType="end"/>
    </w:r>
  </w:p>
  <w:p w14:paraId="766CD237" w14:textId="77777777" w:rsidR="00071486" w:rsidRDefault="00071486">
    <w:pPr>
      <w:widowControl w:val="0"/>
      <w:pBdr>
        <w:top w:val="nil"/>
        <w:left w:val="nil"/>
        <w:bottom w:val="nil"/>
        <w:right w:val="nil"/>
        <w:between w:val="nil"/>
      </w:pBdr>
      <w:spacing w:after="0" w:line="276"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115B2" w14:textId="15D5B5F2" w:rsidR="00071486" w:rsidRDefault="00000000">
    <w:pPr>
      <w:pBdr>
        <w:top w:val="single" w:sz="4" w:space="1" w:color="000000"/>
        <w:left w:val="nil"/>
        <w:bottom w:val="nil"/>
        <w:right w:val="nil"/>
        <w:between w:val="nil"/>
      </w:pBdr>
      <w:tabs>
        <w:tab w:val="center" w:pos="4680"/>
        <w:tab w:val="right" w:pos="9360"/>
      </w:tabs>
      <w:spacing w:after="0" w:line="240" w:lineRule="auto"/>
      <w:rPr>
        <w:color w:val="000000"/>
      </w:rPr>
    </w:pPr>
    <w:r>
      <w:t>Mars </w:t>
    </w:r>
    <w:r>
      <w:rPr>
        <w:color w:val="000000"/>
      </w:rPr>
      <w:t xml:space="preserve">2023 </w:t>
    </w:r>
    <w:r>
      <w:rPr>
        <w:color w:val="000000"/>
      </w:rPr>
      <w:tab/>
    </w:r>
    <w:r>
      <w:rPr>
        <w:color w:val="000000"/>
      </w:rPr>
      <w:tab/>
    </w:r>
    <w:r>
      <w:rPr>
        <w:color w:val="000000"/>
      </w:rPr>
      <w:fldChar w:fldCharType="begin"/>
    </w:r>
    <w:r>
      <w:rPr>
        <w:color w:val="000000"/>
      </w:rPr>
      <w:instrText>PAGE</w:instrText>
    </w:r>
    <w:r>
      <w:rPr>
        <w:color w:val="000000"/>
      </w:rPr>
      <w:fldChar w:fldCharType="separate"/>
    </w:r>
    <w:r w:rsidR="00D90D58">
      <w:rPr>
        <w:color w:val="000000"/>
      </w:rPr>
      <w:t>3</w:t>
    </w:r>
    <w:r>
      <w:rPr>
        <w:color w:val="000000"/>
      </w:rPr>
      <w:fldChar w:fldCharType="end"/>
    </w:r>
  </w:p>
  <w:p w14:paraId="6D49F90C" w14:textId="77777777" w:rsidR="00071486" w:rsidRDefault="00071486">
    <w:pPr>
      <w:widowControl w:val="0"/>
      <w:pBdr>
        <w:top w:val="nil"/>
        <w:left w:val="nil"/>
        <w:bottom w:val="nil"/>
        <w:right w:val="nil"/>
        <w:between w:val="nil"/>
      </w:pBdr>
      <w:spacing w:after="0" w:line="276" w:lineRule="auto"/>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59066" w14:textId="68B316A2" w:rsidR="00071486" w:rsidRDefault="002C6C65">
    <w:pPr>
      <w:pBdr>
        <w:top w:val="single" w:sz="4" w:space="1" w:color="000000"/>
        <w:left w:val="nil"/>
        <w:bottom w:val="nil"/>
        <w:right w:val="nil"/>
        <w:between w:val="nil"/>
      </w:pBdr>
      <w:tabs>
        <w:tab w:val="center" w:pos="4680"/>
        <w:tab w:val="right" w:pos="9360"/>
      </w:tabs>
      <w:spacing w:after="0" w:line="240" w:lineRule="auto"/>
      <w:rPr>
        <w:color w:val="000000"/>
      </w:rPr>
    </w:pPr>
    <w:r>
      <w:rPr>
        <w:color w:val="000000"/>
      </w:rPr>
      <w:t>Mars 2023</w:t>
    </w:r>
    <w:r>
      <w:rPr>
        <w:color w:val="000000"/>
      </w:rPr>
      <w:tab/>
    </w:r>
    <w:r>
      <w:rPr>
        <w:color w:val="000000"/>
      </w:rPr>
      <w:tab/>
    </w:r>
    <w:r>
      <w:rPr>
        <w:color w:val="000000"/>
      </w:rPr>
      <w:tab/>
    </w:r>
    <w:r>
      <w:rPr>
        <w:color w:val="000000"/>
      </w:rPr>
      <w:fldChar w:fldCharType="begin"/>
    </w:r>
    <w:r>
      <w:rPr>
        <w:color w:val="000000"/>
      </w:rPr>
      <w:instrText>PAGE</w:instrText>
    </w:r>
    <w:r>
      <w:rPr>
        <w:color w:val="000000"/>
      </w:rPr>
      <w:fldChar w:fldCharType="separate"/>
    </w:r>
    <w:r w:rsidR="00D90D58">
      <w:rPr>
        <w:color w:val="000000"/>
      </w:rPr>
      <w:t>5</w:t>
    </w:r>
    <w:r>
      <w:rPr>
        <w:color w:val="000000"/>
      </w:rPr>
      <w:fldChar w:fldCharType="end"/>
    </w:r>
  </w:p>
  <w:p w14:paraId="3EF178AA" w14:textId="77777777" w:rsidR="00071486" w:rsidRDefault="00071486">
    <w:pPr>
      <w:widowControl w:val="0"/>
      <w:pBdr>
        <w:top w:val="nil"/>
        <w:left w:val="nil"/>
        <w:bottom w:val="nil"/>
        <w:right w:val="nil"/>
        <w:between w:val="nil"/>
      </w:pBdr>
      <w:spacing w:after="0" w:line="276" w:lineRule="auto"/>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B9ECD" w14:textId="02C94AAB" w:rsidR="00071486" w:rsidRDefault="002C6C65">
    <w:pPr>
      <w:pBdr>
        <w:top w:val="single" w:sz="4" w:space="1" w:color="000000"/>
        <w:left w:val="nil"/>
        <w:bottom w:val="nil"/>
        <w:right w:val="nil"/>
        <w:between w:val="nil"/>
      </w:pBdr>
      <w:tabs>
        <w:tab w:val="center" w:pos="4680"/>
        <w:tab w:val="right" w:pos="9360"/>
      </w:tabs>
      <w:spacing w:after="0" w:line="240" w:lineRule="auto"/>
      <w:rPr>
        <w:color w:val="000000"/>
      </w:rPr>
    </w:pPr>
    <w:r>
      <w:rPr>
        <w:color w:val="000000"/>
      </w:rPr>
      <w:t xml:space="preserve">Mars 2023 </w:t>
    </w:r>
    <w:r>
      <w:rPr>
        <w:color w:val="000000"/>
      </w:rPr>
      <w:tab/>
    </w:r>
    <w:r>
      <w:rPr>
        <w:color w:val="000000"/>
      </w:rPr>
      <w:tab/>
    </w:r>
    <w:r>
      <w:rPr>
        <w:color w:val="000000"/>
      </w:rPr>
      <w:fldChar w:fldCharType="begin"/>
    </w:r>
    <w:r>
      <w:rPr>
        <w:color w:val="000000"/>
      </w:rPr>
      <w:instrText>PAGE</w:instrText>
    </w:r>
    <w:r>
      <w:rPr>
        <w:color w:val="000000"/>
      </w:rPr>
      <w:fldChar w:fldCharType="separate"/>
    </w:r>
    <w:r w:rsidR="00D90D58">
      <w:rPr>
        <w:color w:val="000000"/>
      </w:rPr>
      <w:t>4</w:t>
    </w:r>
    <w:r>
      <w:rPr>
        <w:color w:val="000000"/>
      </w:rPr>
      <w:fldChar w:fldCharType="end"/>
    </w:r>
  </w:p>
  <w:p w14:paraId="30F81C94" w14:textId="77777777" w:rsidR="00071486" w:rsidRDefault="00071486">
    <w:pPr>
      <w:widowControl w:val="0"/>
      <w:pBdr>
        <w:top w:val="nil"/>
        <w:left w:val="nil"/>
        <w:bottom w:val="nil"/>
        <w:right w:val="nil"/>
        <w:between w:val="nil"/>
      </w:pBdr>
      <w:spacing w:after="0"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97A7A" w14:textId="77777777" w:rsidR="00244B47" w:rsidRDefault="00244B47">
      <w:pPr>
        <w:spacing w:after="0" w:line="240" w:lineRule="auto"/>
      </w:pPr>
      <w:r>
        <w:separator/>
      </w:r>
    </w:p>
  </w:footnote>
  <w:footnote w:type="continuationSeparator" w:id="0">
    <w:p w14:paraId="031FF20D" w14:textId="77777777" w:rsidR="00244B47" w:rsidRDefault="00244B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34DA2" w14:textId="77777777" w:rsidR="002C6C65" w:rsidRDefault="002C6C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AC874" w14:textId="77777777" w:rsidR="002C6C65" w:rsidRDefault="002C6C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C2FEE" w14:textId="77777777" w:rsidR="002C6C65" w:rsidRDefault="002C6C6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D55A" w14:textId="77777777" w:rsidR="00071486" w:rsidRDefault="00000000">
    <w:pPr>
      <w:pBdr>
        <w:top w:val="nil"/>
        <w:left w:val="nil"/>
        <w:bottom w:val="single" w:sz="4" w:space="1" w:color="000000"/>
        <w:right w:val="nil"/>
        <w:between w:val="nil"/>
      </w:pBdr>
      <w:tabs>
        <w:tab w:val="center" w:pos="4680"/>
        <w:tab w:val="right" w:pos="9360"/>
        <w:tab w:val="center" w:pos="4680"/>
        <w:tab w:val="left" w:pos="9270"/>
        <w:tab w:val="right" w:pos="9360"/>
      </w:tabs>
      <w:spacing w:after="0" w:line="240" w:lineRule="auto"/>
      <w:ind w:right="466"/>
      <w:rPr>
        <w:i/>
        <w:color w:val="000000"/>
      </w:rPr>
    </w:pPr>
    <w:r>
      <w:rPr>
        <w:i/>
        <w:color w:val="111111"/>
      </w:rPr>
      <w:t xml:space="preserve">L’expérience </w:t>
    </w:r>
    <w:proofErr w:type="spellStart"/>
    <w:r>
      <w:rPr>
        <w:i/>
        <w:color w:val="111111"/>
      </w:rPr>
      <w:t>utilisateur·trice</w:t>
    </w:r>
    <w:proofErr w:type="spellEnd"/>
    <w:r>
      <w:rPr>
        <w:i/>
        <w:color w:val="111111"/>
      </w:rPr>
      <w:t xml:space="preserve"> du sous-titrage codé intégral dans les sports à rythme rapide</w:t>
    </w:r>
    <w:r>
      <w:rPr>
        <w:i/>
        <w:color w:val="000000"/>
      </w:rPr>
      <w:t xml:space="preserve"> — Rapport sommaire</w:t>
    </w:r>
  </w:p>
  <w:p w14:paraId="4987A600" w14:textId="77777777" w:rsidR="00071486" w:rsidRDefault="00071486">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4BCC5" w14:textId="77777777" w:rsidR="00071486" w:rsidRDefault="00000000">
    <w:pPr>
      <w:pBdr>
        <w:top w:val="nil"/>
        <w:left w:val="nil"/>
        <w:bottom w:val="single" w:sz="4" w:space="1" w:color="000000"/>
        <w:right w:val="nil"/>
        <w:between w:val="nil"/>
      </w:pBdr>
      <w:tabs>
        <w:tab w:val="center" w:pos="4680"/>
        <w:tab w:val="right" w:pos="9360"/>
        <w:tab w:val="center" w:pos="4680"/>
        <w:tab w:val="left" w:pos="9270"/>
        <w:tab w:val="right" w:pos="9360"/>
      </w:tabs>
      <w:spacing w:after="0" w:line="240" w:lineRule="auto"/>
      <w:ind w:right="466"/>
      <w:rPr>
        <w:i/>
        <w:color w:val="000000"/>
      </w:rPr>
    </w:pPr>
    <w:r>
      <w:rPr>
        <w:i/>
        <w:color w:val="111111"/>
      </w:rPr>
      <w:t xml:space="preserve">L’expérience </w:t>
    </w:r>
    <w:proofErr w:type="spellStart"/>
    <w:r>
      <w:rPr>
        <w:i/>
        <w:color w:val="111111"/>
      </w:rPr>
      <w:t>utilisateur·trice</w:t>
    </w:r>
    <w:proofErr w:type="spellEnd"/>
    <w:r>
      <w:rPr>
        <w:i/>
        <w:color w:val="111111"/>
      </w:rPr>
      <w:t xml:space="preserve"> du sous-titrage codé intégral dans les sports à rythme rapide</w:t>
    </w:r>
    <w:r>
      <w:rPr>
        <w:i/>
        <w:color w:val="000000"/>
      </w:rPr>
      <w:t xml:space="preserve"> — Rapport sommaire</w:t>
    </w:r>
  </w:p>
  <w:p w14:paraId="27BAB06D" w14:textId="77777777" w:rsidR="00071486" w:rsidRDefault="00071486">
    <w:pPr>
      <w:pBdr>
        <w:top w:val="nil"/>
        <w:left w:val="nil"/>
        <w:bottom w:val="nil"/>
        <w:right w:val="nil"/>
        <w:between w:val="nil"/>
      </w:pBdr>
      <w:tabs>
        <w:tab w:val="center" w:pos="4680"/>
        <w:tab w:val="right" w:pos="9360"/>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0872C" w14:textId="77777777" w:rsidR="00071486" w:rsidRDefault="00000000">
    <w:pPr>
      <w:pBdr>
        <w:top w:val="nil"/>
        <w:left w:val="nil"/>
        <w:bottom w:val="single" w:sz="4" w:space="1" w:color="000000"/>
        <w:right w:val="nil"/>
        <w:between w:val="nil"/>
      </w:pBdr>
      <w:tabs>
        <w:tab w:val="center" w:pos="4680"/>
        <w:tab w:val="right" w:pos="9360"/>
        <w:tab w:val="center" w:pos="4680"/>
        <w:tab w:val="left" w:pos="9270"/>
        <w:tab w:val="right" w:pos="9360"/>
      </w:tabs>
      <w:spacing w:after="0" w:line="240" w:lineRule="auto"/>
      <w:ind w:right="466"/>
      <w:rPr>
        <w:i/>
        <w:color w:val="000000"/>
      </w:rPr>
    </w:pPr>
    <w:r>
      <w:rPr>
        <w:i/>
        <w:color w:val="111111"/>
      </w:rPr>
      <w:t xml:space="preserve">L’expérience </w:t>
    </w:r>
    <w:proofErr w:type="spellStart"/>
    <w:r>
      <w:rPr>
        <w:i/>
        <w:color w:val="111111"/>
      </w:rPr>
      <w:t>utilisateur·trice</w:t>
    </w:r>
    <w:proofErr w:type="spellEnd"/>
    <w:r>
      <w:rPr>
        <w:i/>
        <w:color w:val="111111"/>
      </w:rPr>
      <w:t xml:space="preserve"> du sous-titrage codé intégral dans les sports à rythme rapide</w:t>
    </w:r>
    <w:r>
      <w:rPr>
        <w:i/>
        <w:color w:val="000000"/>
      </w:rPr>
      <w:t xml:space="preserve"> — Rapport sommaire</w:t>
    </w:r>
  </w:p>
  <w:p w14:paraId="5BCE4F7E" w14:textId="77777777" w:rsidR="00071486" w:rsidRDefault="00071486">
    <w:pPr>
      <w:pBdr>
        <w:top w:val="nil"/>
        <w:left w:val="nil"/>
        <w:bottom w:val="nil"/>
        <w:right w:val="nil"/>
        <w:between w:val="nil"/>
      </w:pBdr>
      <w:tabs>
        <w:tab w:val="center" w:pos="4680"/>
        <w:tab w:val="right" w:pos="9360"/>
      </w:tabs>
      <w:spacing w:after="0" w:line="240" w:lineRule="auto"/>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E657C" w14:textId="77777777" w:rsidR="00071486" w:rsidRDefault="00000000">
    <w:pPr>
      <w:pBdr>
        <w:top w:val="nil"/>
        <w:left w:val="nil"/>
        <w:bottom w:val="single" w:sz="4" w:space="1" w:color="000000"/>
        <w:right w:val="nil"/>
        <w:between w:val="nil"/>
      </w:pBdr>
      <w:tabs>
        <w:tab w:val="center" w:pos="4680"/>
        <w:tab w:val="right" w:pos="9360"/>
      </w:tabs>
      <w:spacing w:after="0" w:line="240" w:lineRule="auto"/>
      <w:rPr>
        <w:color w:val="000000"/>
      </w:rPr>
    </w:pPr>
    <w:r>
      <w:rPr>
        <w:i/>
        <w:color w:val="111111"/>
      </w:rPr>
      <w:t xml:space="preserve">L’expérience </w:t>
    </w:r>
    <w:proofErr w:type="spellStart"/>
    <w:r>
      <w:rPr>
        <w:i/>
        <w:color w:val="111111"/>
      </w:rPr>
      <w:t>utilisateur·trice</w:t>
    </w:r>
    <w:proofErr w:type="spellEnd"/>
    <w:r>
      <w:rPr>
        <w:i/>
        <w:color w:val="111111"/>
      </w:rPr>
      <w:t xml:space="preserve"> du sous-titrage codé intégral dans les sports à rythme rapide</w:t>
    </w:r>
    <w:r>
      <w:rPr>
        <w:i/>
        <w:color w:val="000000"/>
      </w:rPr>
      <w:t xml:space="preserve"> — Rapport sommaire</w:t>
    </w:r>
    <w:r>
      <w:rPr>
        <w:i/>
        <w:color w:val="000000"/>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3AD41" w14:textId="77777777" w:rsidR="00071486" w:rsidRDefault="00000000">
    <w:pPr>
      <w:pBdr>
        <w:top w:val="nil"/>
        <w:left w:val="nil"/>
        <w:bottom w:val="single" w:sz="4" w:space="1" w:color="000000"/>
        <w:right w:val="nil"/>
        <w:between w:val="nil"/>
      </w:pBdr>
      <w:tabs>
        <w:tab w:val="center" w:pos="4680"/>
        <w:tab w:val="right" w:pos="9360"/>
        <w:tab w:val="center" w:pos="4680"/>
        <w:tab w:val="left" w:pos="9270"/>
        <w:tab w:val="right" w:pos="9360"/>
      </w:tabs>
      <w:spacing w:after="0" w:line="240" w:lineRule="auto"/>
      <w:ind w:right="466"/>
      <w:rPr>
        <w:i/>
        <w:color w:val="000000"/>
      </w:rPr>
    </w:pPr>
    <w:r>
      <w:rPr>
        <w:i/>
        <w:color w:val="111111"/>
      </w:rPr>
      <w:t xml:space="preserve">L’expérience </w:t>
    </w:r>
    <w:proofErr w:type="spellStart"/>
    <w:r>
      <w:rPr>
        <w:i/>
        <w:color w:val="111111"/>
      </w:rPr>
      <w:t>utilisateur·trice</w:t>
    </w:r>
    <w:proofErr w:type="spellEnd"/>
    <w:r>
      <w:rPr>
        <w:i/>
        <w:color w:val="111111"/>
      </w:rPr>
      <w:t xml:space="preserve"> du sous-titrage codé intégral dans les sports à rythme rapide</w:t>
    </w:r>
    <w:r>
      <w:rPr>
        <w:i/>
        <w:color w:val="000000"/>
      </w:rPr>
      <w:t xml:space="preserve"> — Rapport sommaire</w:t>
    </w:r>
  </w:p>
  <w:p w14:paraId="1F5A81B0" w14:textId="77777777" w:rsidR="00071486" w:rsidRDefault="0007148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5925F7"/>
    <w:multiLevelType w:val="multilevel"/>
    <w:tmpl w:val="7E90BEF2"/>
    <w:lvl w:ilvl="0">
      <w:start w:val="1"/>
      <w:numFmt w:val="bullet"/>
      <w:lvlText w:val="●"/>
      <w:lvlJc w:val="left"/>
      <w:pPr>
        <w:ind w:left="707" w:hanging="282"/>
      </w:pPr>
      <w:rPr>
        <w:rFonts w:ascii="Noto Sans Symbols" w:eastAsia="Noto Sans Symbols" w:hAnsi="Noto Sans Symbols" w:cs="Noto Sans Symbols"/>
      </w:rPr>
    </w:lvl>
    <w:lvl w:ilvl="1">
      <w:start w:val="1"/>
      <w:numFmt w:val="bullet"/>
      <w:lvlText w:val="●"/>
      <w:lvlJc w:val="left"/>
      <w:pPr>
        <w:ind w:left="1414" w:hanging="283"/>
      </w:pPr>
      <w:rPr>
        <w:rFonts w:ascii="Noto Sans Symbols" w:eastAsia="Noto Sans Symbols" w:hAnsi="Noto Sans Symbols" w:cs="Noto Sans Symbols"/>
      </w:rPr>
    </w:lvl>
    <w:lvl w:ilvl="2">
      <w:start w:val="1"/>
      <w:numFmt w:val="bullet"/>
      <w:lvlText w:val="●"/>
      <w:lvlJc w:val="left"/>
      <w:pPr>
        <w:ind w:left="2121" w:hanging="283"/>
      </w:pPr>
      <w:rPr>
        <w:rFonts w:ascii="Noto Sans Symbols" w:eastAsia="Noto Sans Symbols" w:hAnsi="Noto Sans Symbols" w:cs="Noto Sans Symbols"/>
      </w:rPr>
    </w:lvl>
    <w:lvl w:ilvl="3">
      <w:start w:val="1"/>
      <w:numFmt w:val="bullet"/>
      <w:lvlText w:val="●"/>
      <w:lvlJc w:val="left"/>
      <w:pPr>
        <w:ind w:left="2828" w:hanging="283"/>
      </w:pPr>
      <w:rPr>
        <w:rFonts w:ascii="Noto Sans Symbols" w:eastAsia="Noto Sans Symbols" w:hAnsi="Noto Sans Symbols" w:cs="Noto Sans Symbols"/>
      </w:rPr>
    </w:lvl>
    <w:lvl w:ilvl="4">
      <w:start w:val="1"/>
      <w:numFmt w:val="bullet"/>
      <w:lvlText w:val="●"/>
      <w:lvlJc w:val="left"/>
      <w:pPr>
        <w:ind w:left="3535" w:hanging="283"/>
      </w:pPr>
      <w:rPr>
        <w:rFonts w:ascii="Noto Sans Symbols" w:eastAsia="Noto Sans Symbols" w:hAnsi="Noto Sans Symbols" w:cs="Noto Sans Symbols"/>
      </w:rPr>
    </w:lvl>
    <w:lvl w:ilvl="5">
      <w:start w:val="1"/>
      <w:numFmt w:val="bullet"/>
      <w:lvlText w:val="●"/>
      <w:lvlJc w:val="left"/>
      <w:pPr>
        <w:ind w:left="4242" w:hanging="283"/>
      </w:pPr>
      <w:rPr>
        <w:rFonts w:ascii="Noto Sans Symbols" w:eastAsia="Noto Sans Symbols" w:hAnsi="Noto Sans Symbols" w:cs="Noto Sans Symbols"/>
      </w:rPr>
    </w:lvl>
    <w:lvl w:ilvl="6">
      <w:start w:val="1"/>
      <w:numFmt w:val="bullet"/>
      <w:lvlText w:val="●"/>
      <w:lvlJc w:val="left"/>
      <w:pPr>
        <w:ind w:left="4949" w:hanging="283"/>
      </w:pPr>
      <w:rPr>
        <w:rFonts w:ascii="Noto Sans Symbols" w:eastAsia="Noto Sans Symbols" w:hAnsi="Noto Sans Symbols" w:cs="Noto Sans Symbols"/>
      </w:rPr>
    </w:lvl>
    <w:lvl w:ilvl="7">
      <w:start w:val="1"/>
      <w:numFmt w:val="bullet"/>
      <w:lvlText w:val="●"/>
      <w:lvlJc w:val="left"/>
      <w:pPr>
        <w:ind w:left="5656" w:hanging="282"/>
      </w:pPr>
      <w:rPr>
        <w:rFonts w:ascii="Noto Sans Symbols" w:eastAsia="Noto Sans Symbols" w:hAnsi="Noto Sans Symbols" w:cs="Noto Sans Symbols"/>
      </w:rPr>
    </w:lvl>
    <w:lvl w:ilvl="8">
      <w:start w:val="1"/>
      <w:numFmt w:val="bullet"/>
      <w:lvlText w:val="●"/>
      <w:lvlJc w:val="left"/>
      <w:pPr>
        <w:ind w:left="6363" w:hanging="283"/>
      </w:pPr>
      <w:rPr>
        <w:rFonts w:ascii="Noto Sans Symbols" w:eastAsia="Noto Sans Symbols" w:hAnsi="Noto Sans Symbols" w:cs="Noto Sans Symbols"/>
      </w:rPr>
    </w:lvl>
  </w:abstractNum>
  <w:abstractNum w:abstractNumId="1" w15:restartNumberingAfterBreak="0">
    <w:nsid w:val="3E8248B0"/>
    <w:multiLevelType w:val="multilevel"/>
    <w:tmpl w:val="95B26B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BB21E9B"/>
    <w:multiLevelType w:val="multilevel"/>
    <w:tmpl w:val="964208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61592099">
    <w:abstractNumId w:val="2"/>
  </w:num>
  <w:num w:numId="2" w16cid:durableId="1658456619">
    <w:abstractNumId w:val="1"/>
  </w:num>
  <w:num w:numId="3" w16cid:durableId="13722667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486"/>
    <w:rsid w:val="00071486"/>
    <w:rsid w:val="000E4626"/>
    <w:rsid w:val="00244B47"/>
    <w:rsid w:val="00270B2F"/>
    <w:rsid w:val="002C6C65"/>
    <w:rsid w:val="00553E88"/>
    <w:rsid w:val="005C1CE1"/>
    <w:rsid w:val="006531B1"/>
    <w:rsid w:val="00815F25"/>
    <w:rsid w:val="008328CA"/>
    <w:rsid w:val="008D1173"/>
    <w:rsid w:val="009256C4"/>
    <w:rsid w:val="0099185D"/>
    <w:rsid w:val="00B26E29"/>
    <w:rsid w:val="00B81A7E"/>
    <w:rsid w:val="00CF5DBE"/>
    <w:rsid w:val="00D90D58"/>
    <w:rsid w:val="00E92BD1"/>
    <w:rsid w:val="00ED370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0DE5C"/>
  <w15:docId w15:val="{0FBE88A5-8FA7-49B4-9FAD-252199342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CA" w:eastAsia="en-CA"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ind w:left="360" w:hanging="360"/>
      <w:outlineLvl w:val="0"/>
    </w:pPr>
    <w:rPr>
      <w:b/>
      <w:color w:val="004D9A"/>
      <w:sz w:val="32"/>
      <w:szCs w:val="32"/>
    </w:rPr>
  </w:style>
  <w:style w:type="paragraph" w:styleId="Heading2">
    <w:name w:val="heading 2"/>
    <w:basedOn w:val="Normal"/>
    <w:next w:val="Normal"/>
    <w:uiPriority w:val="9"/>
    <w:unhideWhenUsed/>
    <w:qFormat/>
    <w:pPr>
      <w:keepNext/>
      <w:keepLines/>
      <w:spacing w:before="40" w:after="0"/>
      <w:outlineLvl w:val="1"/>
    </w:pPr>
    <w:rPr>
      <w:color w:val="004D9A"/>
      <w:sz w:val="26"/>
      <w:szCs w:val="26"/>
    </w:rPr>
  </w:style>
  <w:style w:type="paragraph" w:styleId="Heading3">
    <w:name w:val="heading 3"/>
    <w:basedOn w:val="Normal"/>
    <w:next w:val="Normal"/>
    <w:uiPriority w:val="9"/>
    <w:unhideWhenUsed/>
    <w:qFormat/>
    <w:pPr>
      <w:keepNext/>
      <w:keepLines/>
      <w:spacing w:before="40" w:after="0"/>
      <w:outlineLvl w:val="2"/>
    </w:pPr>
    <w:rPr>
      <w:b/>
      <w:color w:val="004D9A"/>
      <w:sz w:val="24"/>
      <w:szCs w:val="24"/>
    </w:rPr>
  </w:style>
  <w:style w:type="paragraph" w:styleId="Heading4">
    <w:name w:val="heading 4"/>
    <w:basedOn w:val="Normal"/>
    <w:next w:val="Normal"/>
    <w:uiPriority w:val="9"/>
    <w:unhideWhenUsed/>
    <w:qFormat/>
    <w:pPr>
      <w:keepNext/>
      <w:spacing w:before="200" w:line="240" w:lineRule="auto"/>
      <w:outlineLvl w:val="3"/>
    </w:pPr>
  </w:style>
  <w:style w:type="paragraph" w:styleId="Heading5">
    <w:name w:val="heading 5"/>
    <w:basedOn w:val="Normal"/>
    <w:next w:val="Normal"/>
    <w:uiPriority w:val="9"/>
    <w:unhideWhenUsed/>
    <w:qFormat/>
    <w:pPr>
      <w:keepNext/>
      <w:spacing w:before="200" w:line="240" w:lineRule="auto"/>
      <w:outlineLvl w:val="4"/>
    </w:p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Subtitle">
    <w:name w:val="Subtitle"/>
    <w:basedOn w:val="Normal"/>
    <w:next w:val="Normal"/>
    <w:uiPriority w:val="11"/>
    <w:qFormat/>
    <w:pPr>
      <w:spacing w:before="200" w:line="240" w:lineRule="auto"/>
    </w:p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C6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6C65"/>
  </w:style>
  <w:style w:type="paragraph" w:styleId="Footer">
    <w:name w:val="footer"/>
    <w:basedOn w:val="Normal"/>
    <w:link w:val="FooterChar"/>
    <w:uiPriority w:val="99"/>
    <w:unhideWhenUsed/>
    <w:rsid w:val="002C6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6C65"/>
  </w:style>
  <w:style w:type="paragraph" w:styleId="TOC1">
    <w:name w:val="toc 1"/>
    <w:basedOn w:val="Normal"/>
    <w:next w:val="Normal"/>
    <w:autoRedefine/>
    <w:uiPriority w:val="39"/>
    <w:unhideWhenUsed/>
    <w:rsid w:val="000E4626"/>
    <w:pPr>
      <w:spacing w:after="100"/>
    </w:pPr>
  </w:style>
  <w:style w:type="paragraph" w:styleId="TOC2">
    <w:name w:val="toc 2"/>
    <w:basedOn w:val="Normal"/>
    <w:next w:val="Normal"/>
    <w:autoRedefine/>
    <w:uiPriority w:val="39"/>
    <w:unhideWhenUsed/>
    <w:rsid w:val="000E4626"/>
    <w:pPr>
      <w:spacing w:after="100"/>
      <w:ind w:left="220"/>
    </w:pPr>
  </w:style>
  <w:style w:type="paragraph" w:styleId="TOC5">
    <w:name w:val="toc 5"/>
    <w:basedOn w:val="Normal"/>
    <w:next w:val="Normal"/>
    <w:autoRedefine/>
    <w:uiPriority w:val="39"/>
    <w:unhideWhenUsed/>
    <w:rsid w:val="000E4626"/>
    <w:pPr>
      <w:spacing w:after="100"/>
      <w:ind w:left="880"/>
    </w:pPr>
  </w:style>
  <w:style w:type="character" w:styleId="Hyperlink">
    <w:name w:val="Hyperlink"/>
    <w:basedOn w:val="DefaultParagraphFont"/>
    <w:uiPriority w:val="99"/>
    <w:unhideWhenUsed/>
    <w:rsid w:val="000E46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4.png"/><Relationship Id="rId21" Type="http://schemas.openxmlformats.org/officeDocument/2006/relationships/footer" Target="footer7.xml"/><Relationship Id="rId34" Type="http://schemas.openxmlformats.org/officeDocument/2006/relationships/image" Target="media/image12.png"/><Relationship Id="rId7" Type="http://schemas.openxmlformats.org/officeDocument/2006/relationships/image" Target="media/image1.gif"/><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3.png"/><Relationship Id="rId33"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6295</Words>
  <Characters>35883</Characters>
  <Application>Microsoft Office Word</Application>
  <DocSecurity>0</DocSecurity>
  <Lines>299</Lines>
  <Paragraphs>84</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
      <vt:lpstr>Acknowledgements</vt:lpstr>
      <vt:lpstr>Executive Summary</vt:lpstr>
      <vt:lpstr>Overview and Background</vt:lpstr>
      <vt:lpstr>Project Objectives</vt:lpstr>
      <vt:lpstr>Project Sponsor and Steering Committee </vt:lpstr>
      <vt:lpstr>Project Description</vt:lpstr>
      <vt:lpstr>    </vt:lpstr>
      <vt:lpstr>About the Research</vt:lpstr>
      <vt:lpstr>    Research Design</vt:lpstr>
      <vt:lpstr>    </vt:lpstr>
      <vt:lpstr>    Research Execution</vt:lpstr>
      <vt:lpstr>    Study Procedure</vt:lpstr>
      <vt:lpstr>    Comprehension Discussion</vt:lpstr>
      <vt:lpstr>    Specific Considerations for Deaf and Hard of Hearing Participants</vt:lpstr>
      <vt:lpstr>    </vt:lpstr>
      <vt:lpstr>    Demographics</vt:lpstr>
      <vt:lpstr>        </vt:lpstr>
      <vt:lpstr>    Explaining the Two Caption Styles</vt:lpstr>
      <vt:lpstr>    Comparing CO and PBP caption conditions of Live Captioning</vt:lpstr>
      <vt:lpstr>    Caption Style Preferences, Quality Satisfaction and Viewing Experience</vt:lpstr>
      <vt:lpstr>        </vt:lpstr>
      <vt:lpstr>    Comprehension</vt:lpstr>
      <vt:lpstr>    Limitations</vt:lpstr>
      <vt:lpstr>Conclusion</vt:lpstr>
    </vt:vector>
  </TitlesOfParts>
  <Company/>
  <LinksUpToDate>false</LinksUpToDate>
  <CharactersWithSpaces>42094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Somang Name;dfels@torontomu.ca</dc:creator>
  <cp:lastModifiedBy>Christie Christelis</cp:lastModifiedBy>
  <cp:revision>3</cp:revision>
  <cp:lastPrinted>2023-11-24T17:53:00Z</cp:lastPrinted>
  <dcterms:created xsi:type="dcterms:W3CDTF">2023-11-24T17:53:00Z</dcterms:created>
  <dcterms:modified xsi:type="dcterms:W3CDTF">2023-11-24T17:53:00Z</dcterms:modified>
</cp:coreProperties>
</file>